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A2B0" w14:textId="77777777" w:rsidR="007E7FE6" w:rsidRPr="002F54D0" w:rsidRDefault="007E7FE6" w:rsidP="00BC64E9">
      <w:pPr>
        <w:autoSpaceDE w:val="0"/>
        <w:autoSpaceDN w:val="0"/>
        <w:adjustRightInd w:val="0"/>
        <w:spacing w:after="0" w:line="240" w:lineRule="auto"/>
        <w:ind w:left="720" w:hanging="360"/>
        <w:rPr>
          <w:rFonts w:ascii="Bookman Old Style" w:hAnsi="Bookman Old Style"/>
        </w:rPr>
      </w:pPr>
    </w:p>
    <w:p w14:paraId="04918CFB" w14:textId="77777777" w:rsidR="007E7FE6" w:rsidRPr="002F54D0" w:rsidRDefault="007E7FE6" w:rsidP="00BC64E9">
      <w:pPr>
        <w:pStyle w:val="Paragrafoelenco"/>
        <w:autoSpaceDE w:val="0"/>
        <w:autoSpaceDN w:val="0"/>
        <w:adjustRightInd w:val="0"/>
        <w:spacing w:after="0" w:line="240" w:lineRule="auto"/>
        <w:rPr>
          <w:rFonts w:ascii="Bookman Old Style" w:hAnsi="Bookman Old Style" w:cs="CIDFont+F2"/>
          <w:b/>
          <w:bCs/>
          <w:kern w:val="0"/>
        </w:rPr>
      </w:pPr>
    </w:p>
    <w:p w14:paraId="49523E22" w14:textId="77777777" w:rsidR="007E7FE6" w:rsidRPr="002F54D0" w:rsidRDefault="007E7FE6" w:rsidP="00BC64E9">
      <w:pPr>
        <w:pStyle w:val="Paragrafoelenco"/>
        <w:spacing w:after="0" w:line="240" w:lineRule="auto"/>
        <w:rPr>
          <w:rFonts w:ascii="Bookman Old Style" w:hAnsi="Bookman Old Style"/>
          <w:b/>
          <w:bCs/>
        </w:rPr>
      </w:pPr>
    </w:p>
    <w:p w14:paraId="73266EE6" w14:textId="77777777" w:rsidR="007E7FE6" w:rsidRPr="002F54D0" w:rsidRDefault="007E7FE6" w:rsidP="00BC64E9">
      <w:pPr>
        <w:pStyle w:val="Paragrafoelenco"/>
        <w:spacing w:after="0" w:line="240" w:lineRule="auto"/>
        <w:rPr>
          <w:rFonts w:ascii="Bookman Old Style" w:hAnsi="Bookman Old Style"/>
        </w:rPr>
      </w:pPr>
    </w:p>
    <w:p w14:paraId="24795183" w14:textId="77777777" w:rsidR="007E7FE6" w:rsidRPr="002F54D0" w:rsidRDefault="007E7FE6" w:rsidP="00BC64E9">
      <w:pPr>
        <w:pStyle w:val="Paragrafoelenco"/>
        <w:spacing w:after="0" w:line="240" w:lineRule="auto"/>
        <w:rPr>
          <w:rFonts w:ascii="Bookman Old Style" w:hAnsi="Bookman Old Style"/>
        </w:rPr>
      </w:pPr>
    </w:p>
    <w:p w14:paraId="5D38CE0D" w14:textId="77777777" w:rsidR="007E7FE6" w:rsidRPr="002F54D0" w:rsidRDefault="007E7FE6" w:rsidP="00BC64E9">
      <w:pPr>
        <w:pStyle w:val="Paragrafoelenco"/>
        <w:spacing w:after="0" w:line="240" w:lineRule="auto"/>
        <w:jc w:val="center"/>
        <w:rPr>
          <w:rFonts w:ascii="Bookman Old Style" w:hAnsi="Bookman Old Style"/>
          <w:b/>
          <w:kern w:val="0"/>
          <w14:ligatures w14:val="none"/>
        </w:rPr>
      </w:pPr>
      <w:r w:rsidRPr="002F54D0">
        <w:rPr>
          <w:rFonts w:ascii="Bookman Old Style" w:hAnsi="Bookman Old Style"/>
          <w:noProof/>
          <w:lang w:eastAsia="it-IT"/>
        </w:rPr>
        <w:drawing>
          <wp:inline distT="0" distB="0" distL="0" distR="0" wp14:anchorId="3373C8C5" wp14:editId="7BE9FB0A">
            <wp:extent cx="792000" cy="1170785"/>
            <wp:effectExtent l="0" t="0" r="8255" b="0"/>
            <wp:docPr id="2079396766" name="Immagine 2079396766"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CI Istituzion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1170785"/>
                    </a:xfrm>
                    <a:prstGeom prst="rect">
                      <a:avLst/>
                    </a:prstGeom>
                  </pic:spPr>
                </pic:pic>
              </a:graphicData>
            </a:graphic>
          </wp:inline>
        </w:drawing>
      </w:r>
    </w:p>
    <w:p w14:paraId="6745C327" w14:textId="77777777" w:rsidR="007E7FE6" w:rsidRPr="002F54D0" w:rsidRDefault="007E7FE6" w:rsidP="00BC64E9">
      <w:pPr>
        <w:pStyle w:val="Paragrafoelenco"/>
        <w:spacing w:after="0" w:line="240" w:lineRule="auto"/>
        <w:rPr>
          <w:rFonts w:ascii="Bookman Old Style" w:hAnsi="Bookman Old Style"/>
          <w:b/>
          <w:kern w:val="0"/>
          <w14:ligatures w14:val="none"/>
        </w:rPr>
      </w:pPr>
    </w:p>
    <w:p w14:paraId="7A5CA7B9" w14:textId="77777777" w:rsidR="007E7FE6" w:rsidRPr="002F54D0" w:rsidRDefault="007E7FE6" w:rsidP="00BC64E9">
      <w:pPr>
        <w:pStyle w:val="Paragrafoelenco"/>
        <w:spacing w:after="0" w:line="240" w:lineRule="auto"/>
        <w:rPr>
          <w:rFonts w:ascii="Bookman Old Style" w:hAnsi="Bookman Old Style"/>
          <w:b/>
          <w:kern w:val="0"/>
          <w14:ligatures w14:val="none"/>
        </w:rPr>
      </w:pPr>
    </w:p>
    <w:p w14:paraId="48655766" w14:textId="56D59DED" w:rsidR="00D24EAE" w:rsidRPr="002F54D0" w:rsidRDefault="00D24EAE"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r w:rsidRPr="002F54D0">
        <w:rPr>
          <w:rFonts w:ascii="Bookman Old Style" w:eastAsiaTheme="majorEastAsia" w:hAnsi="Bookman Old Style" w:cstheme="majorBidi"/>
          <w:b/>
          <w:bCs/>
          <w:color w:val="0F4761" w:themeColor="accent1" w:themeShade="BF"/>
        </w:rPr>
        <w:t>LEGGE DI BILANCIO 2025</w:t>
      </w:r>
    </w:p>
    <w:p w14:paraId="4F9B6E60" w14:textId="77777777" w:rsidR="007E7FE6" w:rsidRPr="002F54D0" w:rsidRDefault="007E7FE6" w:rsidP="00BC64E9">
      <w:pPr>
        <w:pStyle w:val="Paragrafoelenco"/>
        <w:spacing w:after="0" w:line="240" w:lineRule="auto"/>
        <w:rPr>
          <w:rFonts w:ascii="Bookman Old Style" w:eastAsiaTheme="majorEastAsia" w:hAnsi="Bookman Old Style" w:cstheme="majorBidi"/>
          <w:b/>
          <w:bCs/>
          <w:color w:val="0F4761" w:themeColor="accent1" w:themeShade="BF"/>
        </w:rPr>
      </w:pPr>
    </w:p>
    <w:p w14:paraId="5E48E85C" w14:textId="63EEE8E2" w:rsidR="00492A7F" w:rsidRDefault="00492A7F"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p>
    <w:p w14:paraId="5A179F89" w14:textId="77777777" w:rsidR="00492A7F" w:rsidRDefault="00492A7F"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p>
    <w:p w14:paraId="18E6309E" w14:textId="793CAF5F" w:rsidR="007E7FE6" w:rsidRPr="002F54D0" w:rsidRDefault="00926A2F"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r>
        <w:rPr>
          <w:rFonts w:ascii="Bookman Old Style" w:eastAsiaTheme="majorEastAsia" w:hAnsi="Bookman Old Style" w:cstheme="majorBidi"/>
          <w:b/>
          <w:bCs/>
          <w:color w:val="0F4761" w:themeColor="accent1" w:themeShade="BF"/>
        </w:rPr>
        <w:t xml:space="preserve">PRIMA </w:t>
      </w:r>
      <w:r w:rsidR="0046338A" w:rsidRPr="002F54D0">
        <w:rPr>
          <w:rFonts w:ascii="Bookman Old Style" w:eastAsiaTheme="majorEastAsia" w:hAnsi="Bookman Old Style" w:cstheme="majorBidi"/>
          <w:b/>
          <w:bCs/>
          <w:color w:val="0F4761" w:themeColor="accent1" w:themeShade="BF"/>
        </w:rPr>
        <w:t>NOTA SINTETICA SULLE NOVIT</w:t>
      </w:r>
      <w:r w:rsidR="00AD7314" w:rsidRPr="002F54D0">
        <w:rPr>
          <w:rFonts w:ascii="Bookman Old Style" w:eastAsiaTheme="majorEastAsia" w:hAnsi="Bookman Old Style" w:cstheme="majorBidi"/>
          <w:b/>
          <w:bCs/>
          <w:color w:val="0F4761" w:themeColor="accent1" w:themeShade="BF"/>
        </w:rPr>
        <w:t xml:space="preserve">À </w:t>
      </w:r>
      <w:r w:rsidR="0046338A" w:rsidRPr="002F54D0">
        <w:rPr>
          <w:rFonts w:ascii="Bookman Old Style" w:eastAsiaTheme="majorEastAsia" w:hAnsi="Bookman Old Style" w:cstheme="majorBidi"/>
          <w:b/>
          <w:bCs/>
          <w:color w:val="0F4761" w:themeColor="accent1" w:themeShade="BF"/>
        </w:rPr>
        <w:t xml:space="preserve">PER COMUNI E </w:t>
      </w:r>
      <w:r w:rsidR="004A7C46" w:rsidRPr="002F54D0">
        <w:rPr>
          <w:rFonts w:ascii="Bookman Old Style" w:eastAsiaTheme="majorEastAsia" w:hAnsi="Bookman Old Style" w:cstheme="majorBidi"/>
          <w:b/>
          <w:bCs/>
          <w:color w:val="0F4761" w:themeColor="accent1" w:themeShade="BF"/>
        </w:rPr>
        <w:t xml:space="preserve">CITTÀ METROPOLITANE </w:t>
      </w:r>
      <w:r w:rsidR="007E7FE6" w:rsidRPr="002F54D0">
        <w:rPr>
          <w:rFonts w:ascii="Bookman Old Style" w:eastAsiaTheme="majorEastAsia" w:hAnsi="Bookman Old Style" w:cstheme="majorBidi"/>
          <w:b/>
          <w:bCs/>
          <w:color w:val="0F4761" w:themeColor="accent1" w:themeShade="BF"/>
        </w:rPr>
        <w:t xml:space="preserve"> </w:t>
      </w:r>
      <w:r w:rsidR="00064A10" w:rsidRPr="002F54D0">
        <w:rPr>
          <w:rFonts w:ascii="Bookman Old Style" w:eastAsiaTheme="majorEastAsia" w:hAnsi="Bookman Old Style" w:cstheme="majorBidi"/>
          <w:b/>
          <w:bCs/>
          <w:color w:val="0F4761" w:themeColor="accent1" w:themeShade="BF"/>
        </w:rPr>
        <w:t>INTRODOTTE</w:t>
      </w:r>
      <w:r w:rsidR="008F7D01" w:rsidRPr="002F54D0">
        <w:rPr>
          <w:rFonts w:ascii="Bookman Old Style" w:eastAsiaTheme="majorEastAsia" w:hAnsi="Bookman Old Style" w:cstheme="majorBidi"/>
          <w:b/>
          <w:bCs/>
          <w:color w:val="0F4761" w:themeColor="accent1" w:themeShade="BF"/>
        </w:rPr>
        <w:t xml:space="preserve"> </w:t>
      </w:r>
      <w:r w:rsidR="003071D8" w:rsidRPr="002F54D0">
        <w:rPr>
          <w:rFonts w:ascii="Bookman Old Style" w:eastAsiaTheme="majorEastAsia" w:hAnsi="Bookman Old Style" w:cstheme="majorBidi"/>
          <w:b/>
          <w:bCs/>
          <w:color w:val="0F4761" w:themeColor="accent1" w:themeShade="BF"/>
        </w:rPr>
        <w:t xml:space="preserve">IN COMMISSIONE BILANCIO </w:t>
      </w:r>
      <w:r w:rsidR="00C56C0A" w:rsidRPr="002F54D0">
        <w:rPr>
          <w:rFonts w:ascii="Bookman Old Style" w:eastAsiaTheme="majorEastAsia" w:hAnsi="Bookman Old Style" w:cstheme="majorBidi"/>
          <w:b/>
          <w:bCs/>
          <w:color w:val="0F4761" w:themeColor="accent1" w:themeShade="BF"/>
        </w:rPr>
        <w:t>CAMERA</w:t>
      </w:r>
    </w:p>
    <w:p w14:paraId="51E3EBC6" w14:textId="77777777" w:rsidR="007E7FE6" w:rsidRPr="002F54D0" w:rsidRDefault="007E7FE6" w:rsidP="00BC64E9">
      <w:pPr>
        <w:pStyle w:val="Paragrafoelenco"/>
        <w:spacing w:after="0" w:line="240" w:lineRule="auto"/>
        <w:rPr>
          <w:rFonts w:ascii="Bookman Old Style" w:hAnsi="Bookman Old Style"/>
          <w:b/>
          <w:kern w:val="0"/>
          <w14:ligatures w14:val="none"/>
        </w:rPr>
      </w:pPr>
    </w:p>
    <w:p w14:paraId="2FD8E49F" w14:textId="77777777" w:rsidR="007E7FE6" w:rsidRPr="002F54D0" w:rsidRDefault="007E7FE6" w:rsidP="00BC64E9">
      <w:pPr>
        <w:pStyle w:val="Paragrafoelenco"/>
        <w:spacing w:after="0" w:line="240" w:lineRule="auto"/>
        <w:jc w:val="both"/>
        <w:rPr>
          <w:rFonts w:ascii="Bookman Old Style" w:hAnsi="Bookman Old Style"/>
          <w:kern w:val="0"/>
          <w14:ligatures w14:val="none"/>
        </w:rPr>
      </w:pPr>
    </w:p>
    <w:p w14:paraId="3AE0A21A" w14:textId="5C768298" w:rsidR="003071D8" w:rsidRPr="002F54D0" w:rsidRDefault="00082736" w:rsidP="00BC64E9">
      <w:pPr>
        <w:spacing w:after="0" w:line="240" w:lineRule="auto"/>
        <w:jc w:val="both"/>
        <w:rPr>
          <w:rFonts w:ascii="Bookman Old Style" w:hAnsi="Bookman Old Style"/>
          <w:kern w:val="0"/>
          <w14:ligatures w14:val="none"/>
        </w:rPr>
      </w:pPr>
      <w:r w:rsidRPr="002F54D0">
        <w:rPr>
          <w:rFonts w:ascii="Bookman Old Style" w:hAnsi="Bookman Old Style"/>
          <w:kern w:val="0"/>
          <w14:ligatures w14:val="none"/>
        </w:rPr>
        <w:t>Si riporta di seguito</w:t>
      </w:r>
      <w:r w:rsidR="003C50A6" w:rsidRPr="002F54D0">
        <w:rPr>
          <w:rFonts w:ascii="Bookman Old Style" w:hAnsi="Bookman Old Style"/>
          <w:kern w:val="0"/>
          <w14:ligatures w14:val="none"/>
        </w:rPr>
        <w:t xml:space="preserve"> </w:t>
      </w:r>
      <w:r w:rsidR="003071D8" w:rsidRPr="002F54D0">
        <w:rPr>
          <w:rFonts w:ascii="Bookman Old Style" w:hAnsi="Bookman Old Style"/>
          <w:kern w:val="0"/>
          <w14:ligatures w14:val="none"/>
        </w:rPr>
        <w:t xml:space="preserve">una </w:t>
      </w:r>
      <w:r w:rsidR="00492A7F">
        <w:rPr>
          <w:rFonts w:ascii="Bookman Old Style" w:hAnsi="Bookman Old Style"/>
          <w:kern w:val="0"/>
          <w14:ligatures w14:val="none"/>
        </w:rPr>
        <w:t xml:space="preserve">prima </w:t>
      </w:r>
      <w:r w:rsidR="005D3CEA" w:rsidRPr="002F54D0">
        <w:rPr>
          <w:rFonts w:ascii="Bookman Old Style" w:hAnsi="Bookman Old Style"/>
          <w:kern w:val="0"/>
          <w14:ligatures w14:val="none"/>
        </w:rPr>
        <w:t xml:space="preserve">nota </w:t>
      </w:r>
      <w:r w:rsidR="003071D8" w:rsidRPr="002F54D0">
        <w:rPr>
          <w:rFonts w:ascii="Bookman Old Style" w:hAnsi="Bookman Old Style"/>
          <w:kern w:val="0"/>
          <w14:ligatures w14:val="none"/>
        </w:rPr>
        <w:t>sinte</w:t>
      </w:r>
      <w:r w:rsidR="005D3CEA" w:rsidRPr="002F54D0">
        <w:rPr>
          <w:rFonts w:ascii="Bookman Old Style" w:hAnsi="Bookman Old Style"/>
          <w:kern w:val="0"/>
          <w14:ligatures w14:val="none"/>
        </w:rPr>
        <w:t>tica sui contenuti delle</w:t>
      </w:r>
      <w:r w:rsidR="003C50A6" w:rsidRPr="002F54D0">
        <w:rPr>
          <w:rFonts w:ascii="Bookman Old Style" w:hAnsi="Bookman Old Style"/>
          <w:kern w:val="0"/>
          <w14:ligatures w14:val="none"/>
        </w:rPr>
        <w:t xml:space="preserve"> norme più importanti per Comuni e Città metropolitane</w:t>
      </w:r>
      <w:r w:rsidR="00182ACA" w:rsidRPr="002F54D0">
        <w:rPr>
          <w:rFonts w:ascii="Bookman Old Style" w:hAnsi="Bookman Old Style"/>
          <w:kern w:val="0"/>
          <w14:ligatures w14:val="none"/>
        </w:rPr>
        <w:t xml:space="preserve"> approvate </w:t>
      </w:r>
      <w:r w:rsidR="003C50A6" w:rsidRPr="002F54D0">
        <w:rPr>
          <w:rFonts w:ascii="Bookman Old Style" w:hAnsi="Bookman Old Style"/>
          <w:kern w:val="0"/>
          <w14:ligatures w14:val="none"/>
        </w:rPr>
        <w:t xml:space="preserve">in commissione bilancio </w:t>
      </w:r>
      <w:r w:rsidR="00AD7314" w:rsidRPr="002F54D0">
        <w:rPr>
          <w:rFonts w:ascii="Bookman Old Style" w:hAnsi="Bookman Old Style"/>
          <w:kern w:val="0"/>
          <w14:ligatures w14:val="none"/>
        </w:rPr>
        <w:t>Camera</w:t>
      </w:r>
      <w:r w:rsidR="003E6DEE" w:rsidRPr="002F54D0">
        <w:rPr>
          <w:rFonts w:ascii="Bookman Old Style" w:hAnsi="Bookman Old Style"/>
          <w:kern w:val="0"/>
          <w14:ligatures w14:val="none"/>
        </w:rPr>
        <w:t xml:space="preserve"> che ha concluso i lavori il 17 dicembre u.s.</w:t>
      </w:r>
      <w:r w:rsidR="00182ACA" w:rsidRPr="002F54D0">
        <w:rPr>
          <w:rFonts w:ascii="Bookman Old Style" w:hAnsi="Bookman Old Style"/>
          <w:kern w:val="0"/>
          <w14:ligatures w14:val="none"/>
        </w:rPr>
        <w:t>.</w:t>
      </w:r>
      <w:r w:rsidR="00F32BC5" w:rsidRPr="002F54D0">
        <w:rPr>
          <w:rFonts w:ascii="Bookman Old Style" w:hAnsi="Bookman Old Style"/>
          <w:kern w:val="0"/>
          <w14:ligatures w14:val="none"/>
        </w:rPr>
        <w:t xml:space="preserve"> Il provvedimento passa all’esame dell’Aula e poi verrà trasmesso in Senato per l’approvazione definitiva.</w:t>
      </w:r>
    </w:p>
    <w:p w14:paraId="7451B128" w14:textId="77777777" w:rsidR="007E7FE6" w:rsidRPr="002F54D0" w:rsidRDefault="007E7FE6" w:rsidP="00BC64E9">
      <w:pPr>
        <w:pStyle w:val="Paragrafoelenco"/>
        <w:autoSpaceDE w:val="0"/>
        <w:autoSpaceDN w:val="0"/>
        <w:adjustRightInd w:val="0"/>
        <w:spacing w:after="0" w:line="240" w:lineRule="auto"/>
        <w:rPr>
          <w:rFonts w:ascii="Bookman Old Style" w:hAnsi="Bookman Old Style" w:cs="CIDFont+F2"/>
          <w:b/>
          <w:bCs/>
          <w:kern w:val="0"/>
        </w:rPr>
      </w:pPr>
    </w:p>
    <w:sdt>
      <w:sdtPr>
        <w:rPr>
          <w:rFonts w:ascii="Bookman Old Style" w:eastAsiaTheme="minorHAnsi" w:hAnsi="Bookman Old Style" w:cstheme="minorBidi"/>
          <w:color w:val="auto"/>
          <w:kern w:val="2"/>
          <w:sz w:val="22"/>
          <w:szCs w:val="22"/>
          <w:lang w:eastAsia="en-US"/>
          <w14:ligatures w14:val="standardContextual"/>
        </w:rPr>
        <w:id w:val="1610852206"/>
        <w:docPartObj>
          <w:docPartGallery w:val="Table of Contents"/>
          <w:docPartUnique/>
        </w:docPartObj>
      </w:sdtPr>
      <w:sdtEndPr>
        <w:rPr>
          <w:b/>
          <w:bCs/>
        </w:rPr>
      </w:sdtEndPr>
      <w:sdtContent>
        <w:p w14:paraId="507AD8DF" w14:textId="6D534EC6" w:rsidR="00684504" w:rsidRPr="002F54D0" w:rsidRDefault="00684504">
          <w:pPr>
            <w:pStyle w:val="Titolosommario"/>
            <w:rPr>
              <w:rFonts w:ascii="Bookman Old Style" w:hAnsi="Bookman Old Style"/>
              <w:sz w:val="22"/>
              <w:szCs w:val="22"/>
            </w:rPr>
          </w:pPr>
          <w:r w:rsidRPr="002F54D0">
            <w:rPr>
              <w:rFonts w:ascii="Bookman Old Style" w:hAnsi="Bookman Old Style"/>
              <w:sz w:val="22"/>
              <w:szCs w:val="22"/>
            </w:rPr>
            <w:t>Sommario</w:t>
          </w:r>
        </w:p>
        <w:p w14:paraId="59D87335" w14:textId="44E8F4A7" w:rsidR="00976966" w:rsidRDefault="00684504">
          <w:pPr>
            <w:pStyle w:val="Sommario1"/>
            <w:tabs>
              <w:tab w:val="right" w:leader="dot" w:pos="9628"/>
            </w:tabs>
            <w:rPr>
              <w:rFonts w:eastAsiaTheme="minorEastAsia"/>
              <w:noProof/>
              <w:sz w:val="24"/>
              <w:szCs w:val="24"/>
              <w:lang w:eastAsia="it-IT"/>
            </w:rPr>
          </w:pPr>
          <w:r w:rsidRPr="002F54D0">
            <w:rPr>
              <w:rFonts w:ascii="Bookman Old Style" w:hAnsi="Bookman Old Style"/>
            </w:rPr>
            <w:fldChar w:fldCharType="begin"/>
          </w:r>
          <w:r w:rsidRPr="002F54D0">
            <w:rPr>
              <w:rFonts w:ascii="Bookman Old Style" w:hAnsi="Bookman Old Style"/>
            </w:rPr>
            <w:instrText xml:space="preserve"> TOC \o "1-3" \h \z \u </w:instrText>
          </w:r>
          <w:r w:rsidRPr="002F54D0">
            <w:rPr>
              <w:rFonts w:ascii="Bookman Old Style" w:hAnsi="Bookman Old Style"/>
            </w:rPr>
            <w:fldChar w:fldCharType="separate"/>
          </w:r>
          <w:hyperlink w:anchor="_Toc185431838" w:history="1">
            <w:r w:rsidR="00976966" w:rsidRPr="00604101">
              <w:rPr>
                <w:rStyle w:val="Collegamentoipertestuale"/>
                <w:rFonts w:ascii="Bookman Old Style" w:hAnsi="Bookman Old Style"/>
                <w:b/>
                <w:bCs/>
                <w:noProof/>
              </w:rPr>
              <w:t>PERSONALE</w:t>
            </w:r>
            <w:r w:rsidR="00976966">
              <w:rPr>
                <w:noProof/>
                <w:webHidden/>
              </w:rPr>
              <w:tab/>
            </w:r>
            <w:r w:rsidR="00976966">
              <w:rPr>
                <w:noProof/>
                <w:webHidden/>
              </w:rPr>
              <w:fldChar w:fldCharType="begin"/>
            </w:r>
            <w:r w:rsidR="00976966">
              <w:rPr>
                <w:noProof/>
                <w:webHidden/>
              </w:rPr>
              <w:instrText xml:space="preserve"> PAGEREF _Toc185431838 \h </w:instrText>
            </w:r>
            <w:r w:rsidR="00976966">
              <w:rPr>
                <w:noProof/>
                <w:webHidden/>
              </w:rPr>
            </w:r>
            <w:r w:rsidR="00976966">
              <w:rPr>
                <w:noProof/>
                <w:webHidden/>
              </w:rPr>
              <w:fldChar w:fldCharType="separate"/>
            </w:r>
            <w:r w:rsidR="00492A7F">
              <w:rPr>
                <w:noProof/>
                <w:webHidden/>
              </w:rPr>
              <w:t>2</w:t>
            </w:r>
            <w:r w:rsidR="00976966">
              <w:rPr>
                <w:noProof/>
                <w:webHidden/>
              </w:rPr>
              <w:fldChar w:fldCharType="end"/>
            </w:r>
          </w:hyperlink>
        </w:p>
        <w:p w14:paraId="5FC88C79" w14:textId="63A0A586" w:rsidR="00976966" w:rsidRDefault="00976966">
          <w:pPr>
            <w:pStyle w:val="Sommario2"/>
            <w:tabs>
              <w:tab w:val="left" w:pos="720"/>
              <w:tab w:val="right" w:leader="dot" w:pos="9628"/>
            </w:tabs>
            <w:rPr>
              <w:rFonts w:eastAsiaTheme="minorEastAsia"/>
              <w:noProof/>
              <w:sz w:val="24"/>
              <w:szCs w:val="24"/>
              <w:lang w:eastAsia="it-IT"/>
            </w:rPr>
          </w:pPr>
          <w:hyperlink w:anchor="_Toc185431839"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Abrogazione riduzione del 25% del turn over (Art. 110)</w:t>
            </w:r>
            <w:r>
              <w:rPr>
                <w:noProof/>
                <w:webHidden/>
              </w:rPr>
              <w:tab/>
            </w:r>
            <w:r>
              <w:rPr>
                <w:noProof/>
                <w:webHidden/>
              </w:rPr>
              <w:fldChar w:fldCharType="begin"/>
            </w:r>
            <w:r>
              <w:rPr>
                <w:noProof/>
                <w:webHidden/>
              </w:rPr>
              <w:instrText xml:space="preserve"> PAGEREF _Toc185431839 \h </w:instrText>
            </w:r>
            <w:r>
              <w:rPr>
                <w:noProof/>
                <w:webHidden/>
              </w:rPr>
            </w:r>
            <w:r>
              <w:rPr>
                <w:noProof/>
                <w:webHidden/>
              </w:rPr>
              <w:fldChar w:fldCharType="separate"/>
            </w:r>
            <w:r w:rsidR="00492A7F">
              <w:rPr>
                <w:noProof/>
                <w:webHidden/>
              </w:rPr>
              <w:t>2</w:t>
            </w:r>
            <w:r>
              <w:rPr>
                <w:noProof/>
                <w:webHidden/>
              </w:rPr>
              <w:fldChar w:fldCharType="end"/>
            </w:r>
          </w:hyperlink>
        </w:p>
        <w:p w14:paraId="2BC1DE17" w14:textId="4760A2DC" w:rsidR="00976966" w:rsidRDefault="00976966">
          <w:pPr>
            <w:pStyle w:val="Sommario2"/>
            <w:tabs>
              <w:tab w:val="left" w:pos="720"/>
              <w:tab w:val="right" w:leader="dot" w:pos="9628"/>
            </w:tabs>
            <w:rPr>
              <w:rFonts w:eastAsiaTheme="minorEastAsia"/>
              <w:noProof/>
              <w:sz w:val="24"/>
              <w:szCs w:val="24"/>
              <w:lang w:eastAsia="it-IT"/>
            </w:rPr>
          </w:pPr>
          <w:hyperlink w:anchor="_Toc185431840"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Welfare contrattuale (Art. 18, commi 3 bis- 3 quinquies)</w:t>
            </w:r>
            <w:r>
              <w:rPr>
                <w:noProof/>
                <w:webHidden/>
              </w:rPr>
              <w:tab/>
            </w:r>
            <w:r>
              <w:rPr>
                <w:noProof/>
                <w:webHidden/>
              </w:rPr>
              <w:fldChar w:fldCharType="begin"/>
            </w:r>
            <w:r>
              <w:rPr>
                <w:noProof/>
                <w:webHidden/>
              </w:rPr>
              <w:instrText xml:space="preserve"> PAGEREF _Toc185431840 \h </w:instrText>
            </w:r>
            <w:r>
              <w:rPr>
                <w:noProof/>
                <w:webHidden/>
              </w:rPr>
            </w:r>
            <w:r>
              <w:rPr>
                <w:noProof/>
                <w:webHidden/>
              </w:rPr>
              <w:fldChar w:fldCharType="separate"/>
            </w:r>
            <w:r w:rsidR="00492A7F">
              <w:rPr>
                <w:noProof/>
                <w:webHidden/>
              </w:rPr>
              <w:t>3</w:t>
            </w:r>
            <w:r>
              <w:rPr>
                <w:noProof/>
                <w:webHidden/>
              </w:rPr>
              <w:fldChar w:fldCharType="end"/>
            </w:r>
          </w:hyperlink>
        </w:p>
        <w:p w14:paraId="4771F3EB" w14:textId="079ED168" w:rsidR="00976966" w:rsidRDefault="00976966">
          <w:pPr>
            <w:pStyle w:val="Sommario2"/>
            <w:tabs>
              <w:tab w:val="left" w:pos="720"/>
              <w:tab w:val="right" w:leader="dot" w:pos="9628"/>
            </w:tabs>
            <w:rPr>
              <w:rFonts w:eastAsiaTheme="minorEastAsia"/>
              <w:noProof/>
              <w:sz w:val="24"/>
              <w:szCs w:val="24"/>
              <w:lang w:eastAsia="it-IT"/>
            </w:rPr>
          </w:pPr>
          <w:hyperlink w:anchor="_Toc185431841"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Mobilità di personale (Art. 18, commi 3 bis- 3 quinquies)</w:t>
            </w:r>
            <w:r>
              <w:rPr>
                <w:noProof/>
                <w:webHidden/>
              </w:rPr>
              <w:tab/>
            </w:r>
            <w:r>
              <w:rPr>
                <w:noProof/>
                <w:webHidden/>
              </w:rPr>
              <w:fldChar w:fldCharType="begin"/>
            </w:r>
            <w:r>
              <w:rPr>
                <w:noProof/>
                <w:webHidden/>
              </w:rPr>
              <w:instrText xml:space="preserve"> PAGEREF _Toc185431841 \h </w:instrText>
            </w:r>
            <w:r>
              <w:rPr>
                <w:noProof/>
                <w:webHidden/>
              </w:rPr>
            </w:r>
            <w:r>
              <w:rPr>
                <w:noProof/>
                <w:webHidden/>
              </w:rPr>
              <w:fldChar w:fldCharType="separate"/>
            </w:r>
            <w:r w:rsidR="00492A7F">
              <w:rPr>
                <w:noProof/>
                <w:webHidden/>
              </w:rPr>
              <w:t>3</w:t>
            </w:r>
            <w:r>
              <w:rPr>
                <w:noProof/>
                <w:webHidden/>
              </w:rPr>
              <w:fldChar w:fldCharType="end"/>
            </w:r>
          </w:hyperlink>
        </w:p>
        <w:p w14:paraId="79A756DC" w14:textId="4F8ED20A" w:rsidR="00976966" w:rsidRDefault="00976966">
          <w:pPr>
            <w:pStyle w:val="Sommario1"/>
            <w:tabs>
              <w:tab w:val="right" w:leader="dot" w:pos="9628"/>
            </w:tabs>
            <w:rPr>
              <w:rFonts w:eastAsiaTheme="minorEastAsia"/>
              <w:noProof/>
              <w:sz w:val="24"/>
              <w:szCs w:val="24"/>
              <w:lang w:eastAsia="it-IT"/>
            </w:rPr>
          </w:pPr>
          <w:hyperlink w:anchor="_Toc185431842" w:history="1">
            <w:r w:rsidRPr="00604101">
              <w:rPr>
                <w:rStyle w:val="Collegamentoipertestuale"/>
                <w:rFonts w:ascii="Bookman Old Style" w:hAnsi="Bookman Old Style"/>
                <w:b/>
                <w:bCs/>
                <w:noProof/>
              </w:rPr>
              <w:t>MINORI</w:t>
            </w:r>
            <w:r>
              <w:rPr>
                <w:noProof/>
                <w:webHidden/>
              </w:rPr>
              <w:tab/>
            </w:r>
            <w:r>
              <w:rPr>
                <w:noProof/>
                <w:webHidden/>
              </w:rPr>
              <w:fldChar w:fldCharType="begin"/>
            </w:r>
            <w:r>
              <w:rPr>
                <w:noProof/>
                <w:webHidden/>
              </w:rPr>
              <w:instrText xml:space="preserve"> PAGEREF _Toc185431842 \h </w:instrText>
            </w:r>
            <w:r>
              <w:rPr>
                <w:noProof/>
                <w:webHidden/>
              </w:rPr>
            </w:r>
            <w:r>
              <w:rPr>
                <w:noProof/>
                <w:webHidden/>
              </w:rPr>
              <w:fldChar w:fldCharType="separate"/>
            </w:r>
            <w:r w:rsidR="00492A7F">
              <w:rPr>
                <w:noProof/>
                <w:webHidden/>
              </w:rPr>
              <w:t>3</w:t>
            </w:r>
            <w:r>
              <w:rPr>
                <w:noProof/>
                <w:webHidden/>
              </w:rPr>
              <w:fldChar w:fldCharType="end"/>
            </w:r>
          </w:hyperlink>
        </w:p>
        <w:p w14:paraId="23BC239E" w14:textId="28111B1D" w:rsidR="00976966" w:rsidRDefault="00976966">
          <w:pPr>
            <w:pStyle w:val="Sommario2"/>
            <w:tabs>
              <w:tab w:val="left" w:pos="720"/>
              <w:tab w:val="right" w:leader="dot" w:pos="9628"/>
            </w:tabs>
            <w:rPr>
              <w:rFonts w:eastAsiaTheme="minorEastAsia"/>
              <w:noProof/>
              <w:sz w:val="24"/>
              <w:szCs w:val="24"/>
              <w:lang w:eastAsia="it-IT"/>
            </w:rPr>
          </w:pPr>
          <w:hyperlink w:anchor="_Toc185431843"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assistenza minori (Art. 101)</w:t>
            </w:r>
            <w:r>
              <w:rPr>
                <w:noProof/>
                <w:webHidden/>
              </w:rPr>
              <w:tab/>
            </w:r>
            <w:r>
              <w:rPr>
                <w:noProof/>
                <w:webHidden/>
              </w:rPr>
              <w:fldChar w:fldCharType="begin"/>
            </w:r>
            <w:r>
              <w:rPr>
                <w:noProof/>
                <w:webHidden/>
              </w:rPr>
              <w:instrText xml:space="preserve"> PAGEREF _Toc185431843 \h </w:instrText>
            </w:r>
            <w:r>
              <w:rPr>
                <w:noProof/>
                <w:webHidden/>
              </w:rPr>
            </w:r>
            <w:r>
              <w:rPr>
                <w:noProof/>
                <w:webHidden/>
              </w:rPr>
              <w:fldChar w:fldCharType="separate"/>
            </w:r>
            <w:r w:rsidR="00492A7F">
              <w:rPr>
                <w:noProof/>
                <w:webHidden/>
              </w:rPr>
              <w:t>3</w:t>
            </w:r>
            <w:r>
              <w:rPr>
                <w:noProof/>
                <w:webHidden/>
              </w:rPr>
              <w:fldChar w:fldCharType="end"/>
            </w:r>
          </w:hyperlink>
        </w:p>
        <w:p w14:paraId="03AF3B3F" w14:textId="33F38D4C" w:rsidR="00976966" w:rsidRDefault="00976966">
          <w:pPr>
            <w:pStyle w:val="Sommario2"/>
            <w:tabs>
              <w:tab w:val="left" w:pos="720"/>
              <w:tab w:val="right" w:leader="dot" w:pos="9628"/>
            </w:tabs>
            <w:rPr>
              <w:rFonts w:eastAsiaTheme="minorEastAsia"/>
              <w:noProof/>
              <w:sz w:val="24"/>
              <w:szCs w:val="24"/>
              <w:lang w:eastAsia="it-IT"/>
            </w:rPr>
          </w:pPr>
          <w:hyperlink w:anchor="_Toc185431844"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potenziamento minori rischio devianza (Art. 101 bis)</w:t>
            </w:r>
            <w:r>
              <w:rPr>
                <w:noProof/>
                <w:webHidden/>
              </w:rPr>
              <w:tab/>
            </w:r>
            <w:r>
              <w:rPr>
                <w:noProof/>
                <w:webHidden/>
              </w:rPr>
              <w:fldChar w:fldCharType="begin"/>
            </w:r>
            <w:r>
              <w:rPr>
                <w:noProof/>
                <w:webHidden/>
              </w:rPr>
              <w:instrText xml:space="preserve"> PAGEREF _Toc185431844 \h </w:instrText>
            </w:r>
            <w:r>
              <w:rPr>
                <w:noProof/>
                <w:webHidden/>
              </w:rPr>
            </w:r>
            <w:r>
              <w:rPr>
                <w:noProof/>
                <w:webHidden/>
              </w:rPr>
              <w:fldChar w:fldCharType="separate"/>
            </w:r>
            <w:r w:rsidR="00492A7F">
              <w:rPr>
                <w:noProof/>
                <w:webHidden/>
              </w:rPr>
              <w:t>3</w:t>
            </w:r>
            <w:r>
              <w:rPr>
                <w:noProof/>
                <w:webHidden/>
              </w:rPr>
              <w:fldChar w:fldCharType="end"/>
            </w:r>
          </w:hyperlink>
        </w:p>
        <w:p w14:paraId="74808101" w14:textId="561984CC" w:rsidR="00976966" w:rsidRDefault="00976966">
          <w:pPr>
            <w:pStyle w:val="Sommario1"/>
            <w:tabs>
              <w:tab w:val="right" w:leader="dot" w:pos="9628"/>
            </w:tabs>
            <w:rPr>
              <w:rFonts w:eastAsiaTheme="minorEastAsia"/>
              <w:noProof/>
              <w:sz w:val="24"/>
              <w:szCs w:val="24"/>
              <w:lang w:eastAsia="it-IT"/>
            </w:rPr>
          </w:pPr>
          <w:hyperlink w:anchor="_Toc185431845" w:history="1">
            <w:r w:rsidRPr="00604101">
              <w:rPr>
                <w:rStyle w:val="Collegamentoipertestuale"/>
                <w:rFonts w:ascii="Bookman Old Style" w:hAnsi="Bookman Old Style"/>
                <w:b/>
                <w:bCs/>
                <w:noProof/>
              </w:rPr>
              <w:t>FINANZA LOCALE</w:t>
            </w:r>
            <w:r>
              <w:rPr>
                <w:noProof/>
                <w:webHidden/>
              </w:rPr>
              <w:tab/>
            </w:r>
            <w:r>
              <w:rPr>
                <w:noProof/>
                <w:webHidden/>
              </w:rPr>
              <w:fldChar w:fldCharType="begin"/>
            </w:r>
            <w:r>
              <w:rPr>
                <w:noProof/>
                <w:webHidden/>
              </w:rPr>
              <w:instrText xml:space="preserve"> PAGEREF _Toc185431845 \h </w:instrText>
            </w:r>
            <w:r>
              <w:rPr>
                <w:noProof/>
                <w:webHidden/>
              </w:rPr>
            </w:r>
            <w:r>
              <w:rPr>
                <w:noProof/>
                <w:webHidden/>
              </w:rPr>
              <w:fldChar w:fldCharType="separate"/>
            </w:r>
            <w:r w:rsidR="00492A7F">
              <w:rPr>
                <w:noProof/>
                <w:webHidden/>
              </w:rPr>
              <w:t>3</w:t>
            </w:r>
            <w:r>
              <w:rPr>
                <w:noProof/>
                <w:webHidden/>
              </w:rPr>
              <w:fldChar w:fldCharType="end"/>
            </w:r>
          </w:hyperlink>
        </w:p>
        <w:p w14:paraId="00E1E825" w14:textId="5894FC1A" w:rsidR="00976966" w:rsidRDefault="00976966">
          <w:pPr>
            <w:pStyle w:val="Sommario2"/>
            <w:tabs>
              <w:tab w:val="left" w:pos="720"/>
              <w:tab w:val="right" w:leader="dot" w:pos="9628"/>
            </w:tabs>
            <w:rPr>
              <w:rFonts w:eastAsiaTheme="minorEastAsia"/>
              <w:noProof/>
              <w:sz w:val="24"/>
              <w:szCs w:val="24"/>
              <w:lang w:eastAsia="it-IT"/>
            </w:rPr>
          </w:pPr>
          <w:hyperlink w:anchor="_Toc185431846"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Recupero tributario dei Comuni (Art. 102 bis)</w:t>
            </w:r>
            <w:r>
              <w:rPr>
                <w:noProof/>
                <w:webHidden/>
              </w:rPr>
              <w:tab/>
            </w:r>
            <w:r>
              <w:rPr>
                <w:noProof/>
                <w:webHidden/>
              </w:rPr>
              <w:fldChar w:fldCharType="begin"/>
            </w:r>
            <w:r>
              <w:rPr>
                <w:noProof/>
                <w:webHidden/>
              </w:rPr>
              <w:instrText xml:space="preserve"> PAGEREF _Toc185431846 \h </w:instrText>
            </w:r>
            <w:r>
              <w:rPr>
                <w:noProof/>
                <w:webHidden/>
              </w:rPr>
            </w:r>
            <w:r>
              <w:rPr>
                <w:noProof/>
                <w:webHidden/>
              </w:rPr>
              <w:fldChar w:fldCharType="separate"/>
            </w:r>
            <w:r w:rsidR="00492A7F">
              <w:rPr>
                <w:noProof/>
                <w:webHidden/>
              </w:rPr>
              <w:t>3</w:t>
            </w:r>
            <w:r>
              <w:rPr>
                <w:noProof/>
                <w:webHidden/>
              </w:rPr>
              <w:fldChar w:fldCharType="end"/>
            </w:r>
          </w:hyperlink>
        </w:p>
        <w:p w14:paraId="759392C1" w14:textId="7F24D7CE" w:rsidR="00976966" w:rsidRDefault="00976966">
          <w:pPr>
            <w:pStyle w:val="Sommario2"/>
            <w:tabs>
              <w:tab w:val="left" w:pos="720"/>
              <w:tab w:val="right" w:leader="dot" w:pos="9628"/>
            </w:tabs>
            <w:rPr>
              <w:rFonts w:eastAsiaTheme="minorEastAsia"/>
              <w:noProof/>
              <w:sz w:val="24"/>
              <w:szCs w:val="24"/>
              <w:lang w:eastAsia="it-IT"/>
            </w:rPr>
          </w:pPr>
          <w:hyperlink w:anchor="_Toc185431847"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Autorizzazione ai Comuni per richiedere il contributo per il riconoscimento della cittadinanza italiana (Art. 91 bis)</w:t>
            </w:r>
            <w:r>
              <w:rPr>
                <w:noProof/>
                <w:webHidden/>
              </w:rPr>
              <w:tab/>
            </w:r>
            <w:r>
              <w:rPr>
                <w:noProof/>
                <w:webHidden/>
              </w:rPr>
              <w:fldChar w:fldCharType="begin"/>
            </w:r>
            <w:r>
              <w:rPr>
                <w:noProof/>
                <w:webHidden/>
              </w:rPr>
              <w:instrText xml:space="preserve"> PAGEREF _Toc185431847 \h </w:instrText>
            </w:r>
            <w:r>
              <w:rPr>
                <w:noProof/>
                <w:webHidden/>
              </w:rPr>
            </w:r>
            <w:r>
              <w:rPr>
                <w:noProof/>
                <w:webHidden/>
              </w:rPr>
              <w:fldChar w:fldCharType="separate"/>
            </w:r>
            <w:r w:rsidR="00492A7F">
              <w:rPr>
                <w:noProof/>
                <w:webHidden/>
              </w:rPr>
              <w:t>4</w:t>
            </w:r>
            <w:r>
              <w:rPr>
                <w:noProof/>
                <w:webHidden/>
              </w:rPr>
              <w:fldChar w:fldCharType="end"/>
            </w:r>
          </w:hyperlink>
        </w:p>
        <w:p w14:paraId="3971E29D" w14:textId="6A86FCFC" w:rsidR="00976966" w:rsidRDefault="00976966">
          <w:pPr>
            <w:pStyle w:val="Sommario2"/>
            <w:tabs>
              <w:tab w:val="left" w:pos="720"/>
              <w:tab w:val="right" w:leader="dot" w:pos="9628"/>
            </w:tabs>
            <w:rPr>
              <w:rFonts w:eastAsiaTheme="minorEastAsia"/>
              <w:noProof/>
              <w:sz w:val="24"/>
              <w:szCs w:val="24"/>
              <w:lang w:eastAsia="it-IT"/>
            </w:rPr>
          </w:pPr>
          <w:hyperlink w:anchor="_Toc185431848"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Addizionale comunale diritti di imbarco (art. 98 bis)</w:t>
            </w:r>
            <w:r>
              <w:rPr>
                <w:noProof/>
                <w:webHidden/>
              </w:rPr>
              <w:tab/>
            </w:r>
            <w:r>
              <w:rPr>
                <w:noProof/>
                <w:webHidden/>
              </w:rPr>
              <w:fldChar w:fldCharType="begin"/>
            </w:r>
            <w:r>
              <w:rPr>
                <w:noProof/>
                <w:webHidden/>
              </w:rPr>
              <w:instrText xml:space="preserve"> PAGEREF _Toc185431848 \h </w:instrText>
            </w:r>
            <w:r>
              <w:rPr>
                <w:noProof/>
                <w:webHidden/>
              </w:rPr>
            </w:r>
            <w:r>
              <w:rPr>
                <w:noProof/>
                <w:webHidden/>
              </w:rPr>
              <w:fldChar w:fldCharType="separate"/>
            </w:r>
            <w:r w:rsidR="00492A7F">
              <w:rPr>
                <w:noProof/>
                <w:webHidden/>
              </w:rPr>
              <w:t>4</w:t>
            </w:r>
            <w:r>
              <w:rPr>
                <w:noProof/>
                <w:webHidden/>
              </w:rPr>
              <w:fldChar w:fldCharType="end"/>
            </w:r>
          </w:hyperlink>
        </w:p>
        <w:p w14:paraId="610F60A6" w14:textId="525B4F8A" w:rsidR="00976966" w:rsidRDefault="00976966">
          <w:pPr>
            <w:pStyle w:val="Sommario1"/>
            <w:tabs>
              <w:tab w:val="right" w:leader="dot" w:pos="9628"/>
            </w:tabs>
            <w:rPr>
              <w:rFonts w:eastAsiaTheme="minorEastAsia"/>
              <w:noProof/>
              <w:sz w:val="24"/>
              <w:szCs w:val="24"/>
              <w:lang w:eastAsia="it-IT"/>
            </w:rPr>
          </w:pPr>
          <w:hyperlink w:anchor="_Toc185431849" w:history="1">
            <w:r w:rsidRPr="00604101">
              <w:rPr>
                <w:rStyle w:val="Collegamentoipertestuale"/>
                <w:rFonts w:ascii="Bookman Old Style" w:hAnsi="Bookman Old Style"/>
                <w:b/>
                <w:bCs/>
                <w:noProof/>
              </w:rPr>
              <w:t>PICCOLI COMUNI</w:t>
            </w:r>
            <w:r>
              <w:rPr>
                <w:noProof/>
                <w:webHidden/>
              </w:rPr>
              <w:tab/>
            </w:r>
            <w:r>
              <w:rPr>
                <w:noProof/>
                <w:webHidden/>
              </w:rPr>
              <w:fldChar w:fldCharType="begin"/>
            </w:r>
            <w:r>
              <w:rPr>
                <w:noProof/>
                <w:webHidden/>
              </w:rPr>
              <w:instrText xml:space="preserve"> PAGEREF _Toc185431849 \h </w:instrText>
            </w:r>
            <w:r>
              <w:rPr>
                <w:noProof/>
                <w:webHidden/>
              </w:rPr>
            </w:r>
            <w:r>
              <w:rPr>
                <w:noProof/>
                <w:webHidden/>
              </w:rPr>
              <w:fldChar w:fldCharType="separate"/>
            </w:r>
            <w:r w:rsidR="00492A7F">
              <w:rPr>
                <w:noProof/>
                <w:webHidden/>
              </w:rPr>
              <w:t>4</w:t>
            </w:r>
            <w:r>
              <w:rPr>
                <w:noProof/>
                <w:webHidden/>
              </w:rPr>
              <w:fldChar w:fldCharType="end"/>
            </w:r>
          </w:hyperlink>
        </w:p>
        <w:p w14:paraId="25FBA250" w14:textId="7362E027" w:rsidR="00976966" w:rsidRDefault="00976966">
          <w:pPr>
            <w:pStyle w:val="Sommario2"/>
            <w:tabs>
              <w:tab w:val="left" w:pos="720"/>
              <w:tab w:val="right" w:leader="dot" w:pos="9628"/>
            </w:tabs>
            <w:rPr>
              <w:rFonts w:eastAsiaTheme="minorEastAsia"/>
              <w:noProof/>
              <w:sz w:val="24"/>
              <w:szCs w:val="24"/>
              <w:lang w:eastAsia="it-IT"/>
            </w:rPr>
          </w:pPr>
          <w:hyperlink w:anchor="_Toc185431850"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Sostegno economico Comuni in dissesto sotto ai 1000 abitanti (Art. 102 bis)</w:t>
            </w:r>
            <w:r>
              <w:rPr>
                <w:noProof/>
                <w:webHidden/>
              </w:rPr>
              <w:tab/>
            </w:r>
            <w:r>
              <w:rPr>
                <w:noProof/>
                <w:webHidden/>
              </w:rPr>
              <w:fldChar w:fldCharType="begin"/>
            </w:r>
            <w:r>
              <w:rPr>
                <w:noProof/>
                <w:webHidden/>
              </w:rPr>
              <w:instrText xml:space="preserve"> PAGEREF _Toc185431850 \h </w:instrText>
            </w:r>
            <w:r>
              <w:rPr>
                <w:noProof/>
                <w:webHidden/>
              </w:rPr>
            </w:r>
            <w:r>
              <w:rPr>
                <w:noProof/>
                <w:webHidden/>
              </w:rPr>
              <w:fldChar w:fldCharType="separate"/>
            </w:r>
            <w:r w:rsidR="00492A7F">
              <w:rPr>
                <w:noProof/>
                <w:webHidden/>
              </w:rPr>
              <w:t>4</w:t>
            </w:r>
            <w:r>
              <w:rPr>
                <w:noProof/>
                <w:webHidden/>
              </w:rPr>
              <w:fldChar w:fldCharType="end"/>
            </w:r>
          </w:hyperlink>
        </w:p>
        <w:p w14:paraId="418EA104" w14:textId="74E5C79A" w:rsidR="00976966" w:rsidRDefault="00976966">
          <w:pPr>
            <w:pStyle w:val="Sommario2"/>
            <w:tabs>
              <w:tab w:val="left" w:pos="720"/>
              <w:tab w:val="right" w:leader="dot" w:pos="9628"/>
            </w:tabs>
            <w:rPr>
              <w:rFonts w:eastAsiaTheme="minorEastAsia"/>
              <w:noProof/>
              <w:sz w:val="24"/>
              <w:szCs w:val="24"/>
              <w:lang w:eastAsia="it-IT"/>
            </w:rPr>
          </w:pPr>
          <w:hyperlink w:anchor="_Toc185431851"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straordinario per il rafforzamento dei servizi sociali Comuni fino a 3000 abitanti (art. 101 bis)</w:t>
            </w:r>
            <w:r>
              <w:rPr>
                <w:noProof/>
                <w:webHidden/>
              </w:rPr>
              <w:tab/>
            </w:r>
            <w:r>
              <w:rPr>
                <w:noProof/>
                <w:webHidden/>
              </w:rPr>
              <w:fldChar w:fldCharType="begin"/>
            </w:r>
            <w:r>
              <w:rPr>
                <w:noProof/>
                <w:webHidden/>
              </w:rPr>
              <w:instrText xml:space="preserve"> PAGEREF _Toc185431851 \h </w:instrText>
            </w:r>
            <w:r>
              <w:rPr>
                <w:noProof/>
                <w:webHidden/>
              </w:rPr>
            </w:r>
            <w:r>
              <w:rPr>
                <w:noProof/>
                <w:webHidden/>
              </w:rPr>
              <w:fldChar w:fldCharType="separate"/>
            </w:r>
            <w:r w:rsidR="00492A7F">
              <w:rPr>
                <w:noProof/>
                <w:webHidden/>
              </w:rPr>
              <w:t>5</w:t>
            </w:r>
            <w:r>
              <w:rPr>
                <w:noProof/>
                <w:webHidden/>
              </w:rPr>
              <w:fldChar w:fldCharType="end"/>
            </w:r>
          </w:hyperlink>
        </w:p>
        <w:p w14:paraId="17C3FB02" w14:textId="38741B60" w:rsidR="00976966" w:rsidRDefault="00976966">
          <w:pPr>
            <w:pStyle w:val="Sommario1"/>
            <w:tabs>
              <w:tab w:val="right" w:leader="dot" w:pos="9628"/>
            </w:tabs>
            <w:rPr>
              <w:rFonts w:eastAsiaTheme="minorEastAsia"/>
              <w:noProof/>
              <w:sz w:val="24"/>
              <w:szCs w:val="24"/>
              <w:lang w:eastAsia="it-IT"/>
            </w:rPr>
          </w:pPr>
          <w:hyperlink w:anchor="_Toc185431852" w:history="1">
            <w:r w:rsidRPr="00604101">
              <w:rPr>
                <w:rStyle w:val="Collegamentoipertestuale"/>
                <w:rFonts w:ascii="Bookman Old Style" w:hAnsi="Bookman Old Style"/>
                <w:b/>
                <w:bCs/>
                <w:noProof/>
              </w:rPr>
              <w:t>RIGENERAZIONE URBANA E OPERE MEDIE</w:t>
            </w:r>
            <w:r>
              <w:rPr>
                <w:noProof/>
                <w:webHidden/>
              </w:rPr>
              <w:tab/>
            </w:r>
            <w:r>
              <w:rPr>
                <w:noProof/>
                <w:webHidden/>
              </w:rPr>
              <w:fldChar w:fldCharType="begin"/>
            </w:r>
            <w:r>
              <w:rPr>
                <w:noProof/>
                <w:webHidden/>
              </w:rPr>
              <w:instrText xml:space="preserve"> PAGEREF _Toc185431852 \h </w:instrText>
            </w:r>
            <w:r>
              <w:rPr>
                <w:noProof/>
                <w:webHidden/>
              </w:rPr>
            </w:r>
            <w:r>
              <w:rPr>
                <w:noProof/>
                <w:webHidden/>
              </w:rPr>
              <w:fldChar w:fldCharType="separate"/>
            </w:r>
            <w:r w:rsidR="00492A7F">
              <w:rPr>
                <w:noProof/>
                <w:webHidden/>
              </w:rPr>
              <w:t>5</w:t>
            </w:r>
            <w:r>
              <w:rPr>
                <w:noProof/>
                <w:webHidden/>
              </w:rPr>
              <w:fldChar w:fldCharType="end"/>
            </w:r>
          </w:hyperlink>
        </w:p>
        <w:p w14:paraId="54814C6C" w14:textId="2F15DCC4" w:rsidR="00976966" w:rsidRDefault="00976966">
          <w:pPr>
            <w:pStyle w:val="Sommario2"/>
            <w:tabs>
              <w:tab w:val="left" w:pos="720"/>
              <w:tab w:val="right" w:leader="dot" w:pos="9628"/>
            </w:tabs>
            <w:rPr>
              <w:rFonts w:eastAsiaTheme="minorEastAsia"/>
              <w:noProof/>
              <w:sz w:val="24"/>
              <w:szCs w:val="24"/>
              <w:lang w:eastAsia="it-IT"/>
            </w:rPr>
          </w:pPr>
          <w:hyperlink w:anchor="_Toc185431853"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Rigenerazione urbana (Art. 104, comma 21 bis)</w:t>
            </w:r>
            <w:r>
              <w:rPr>
                <w:noProof/>
                <w:webHidden/>
              </w:rPr>
              <w:tab/>
            </w:r>
            <w:r>
              <w:rPr>
                <w:noProof/>
                <w:webHidden/>
              </w:rPr>
              <w:fldChar w:fldCharType="begin"/>
            </w:r>
            <w:r>
              <w:rPr>
                <w:noProof/>
                <w:webHidden/>
              </w:rPr>
              <w:instrText xml:space="preserve"> PAGEREF _Toc185431853 \h </w:instrText>
            </w:r>
            <w:r>
              <w:rPr>
                <w:noProof/>
                <w:webHidden/>
              </w:rPr>
            </w:r>
            <w:r>
              <w:rPr>
                <w:noProof/>
                <w:webHidden/>
              </w:rPr>
              <w:fldChar w:fldCharType="separate"/>
            </w:r>
            <w:r w:rsidR="00492A7F">
              <w:rPr>
                <w:noProof/>
                <w:webHidden/>
              </w:rPr>
              <w:t>5</w:t>
            </w:r>
            <w:r>
              <w:rPr>
                <w:noProof/>
                <w:webHidden/>
              </w:rPr>
              <w:fldChar w:fldCharType="end"/>
            </w:r>
          </w:hyperlink>
        </w:p>
        <w:p w14:paraId="7F5DBD1F" w14:textId="7B855EC8" w:rsidR="00976966" w:rsidRDefault="00976966">
          <w:pPr>
            <w:pStyle w:val="Sommario1"/>
            <w:tabs>
              <w:tab w:val="right" w:leader="dot" w:pos="9628"/>
            </w:tabs>
            <w:rPr>
              <w:rFonts w:eastAsiaTheme="minorEastAsia"/>
              <w:noProof/>
              <w:sz w:val="24"/>
              <w:szCs w:val="24"/>
              <w:lang w:eastAsia="it-IT"/>
            </w:rPr>
          </w:pPr>
          <w:hyperlink w:anchor="_Toc185431854" w:history="1">
            <w:r w:rsidRPr="00604101">
              <w:rPr>
                <w:rStyle w:val="Collegamentoipertestuale"/>
                <w:rFonts w:ascii="Bookman Old Style" w:hAnsi="Bookman Old Style"/>
                <w:b/>
                <w:bCs/>
                <w:noProof/>
              </w:rPr>
              <w:t>INFRASTRUTTURE E TPL</w:t>
            </w:r>
            <w:r>
              <w:rPr>
                <w:noProof/>
                <w:webHidden/>
              </w:rPr>
              <w:tab/>
            </w:r>
            <w:r>
              <w:rPr>
                <w:noProof/>
                <w:webHidden/>
              </w:rPr>
              <w:fldChar w:fldCharType="begin"/>
            </w:r>
            <w:r>
              <w:rPr>
                <w:noProof/>
                <w:webHidden/>
              </w:rPr>
              <w:instrText xml:space="preserve"> PAGEREF _Toc185431854 \h </w:instrText>
            </w:r>
            <w:r>
              <w:rPr>
                <w:noProof/>
                <w:webHidden/>
              </w:rPr>
            </w:r>
            <w:r>
              <w:rPr>
                <w:noProof/>
                <w:webHidden/>
              </w:rPr>
              <w:fldChar w:fldCharType="separate"/>
            </w:r>
            <w:r w:rsidR="00492A7F">
              <w:rPr>
                <w:noProof/>
                <w:webHidden/>
              </w:rPr>
              <w:t>6</w:t>
            </w:r>
            <w:r>
              <w:rPr>
                <w:noProof/>
                <w:webHidden/>
              </w:rPr>
              <w:fldChar w:fldCharType="end"/>
            </w:r>
          </w:hyperlink>
        </w:p>
        <w:p w14:paraId="4A2D520F" w14:textId="6B07DA16" w:rsidR="00976966" w:rsidRDefault="00976966">
          <w:pPr>
            <w:pStyle w:val="Sommario2"/>
            <w:tabs>
              <w:tab w:val="left" w:pos="720"/>
              <w:tab w:val="right" w:leader="dot" w:pos="9628"/>
            </w:tabs>
            <w:rPr>
              <w:rFonts w:eastAsiaTheme="minorEastAsia"/>
              <w:noProof/>
              <w:sz w:val="24"/>
              <w:szCs w:val="24"/>
              <w:lang w:eastAsia="it-IT"/>
            </w:rPr>
          </w:pPr>
          <w:hyperlink w:anchor="_Toc185431855"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Incremento finanziamento di interventi in materia di investimenti, infrastrutture e trasporti (80 bis)</w:t>
            </w:r>
            <w:r>
              <w:rPr>
                <w:noProof/>
                <w:webHidden/>
              </w:rPr>
              <w:tab/>
            </w:r>
            <w:r>
              <w:rPr>
                <w:noProof/>
                <w:webHidden/>
              </w:rPr>
              <w:fldChar w:fldCharType="begin"/>
            </w:r>
            <w:r>
              <w:rPr>
                <w:noProof/>
                <w:webHidden/>
              </w:rPr>
              <w:instrText xml:space="preserve"> PAGEREF _Toc185431855 \h </w:instrText>
            </w:r>
            <w:r>
              <w:rPr>
                <w:noProof/>
                <w:webHidden/>
              </w:rPr>
            </w:r>
            <w:r>
              <w:rPr>
                <w:noProof/>
                <w:webHidden/>
              </w:rPr>
              <w:fldChar w:fldCharType="separate"/>
            </w:r>
            <w:r w:rsidR="00492A7F">
              <w:rPr>
                <w:noProof/>
                <w:webHidden/>
              </w:rPr>
              <w:t>6</w:t>
            </w:r>
            <w:r>
              <w:rPr>
                <w:noProof/>
                <w:webHidden/>
              </w:rPr>
              <w:fldChar w:fldCharType="end"/>
            </w:r>
          </w:hyperlink>
        </w:p>
        <w:p w14:paraId="47B1F6C5" w14:textId="52F75D6E" w:rsidR="00976966" w:rsidRDefault="00976966">
          <w:pPr>
            <w:pStyle w:val="Sommario2"/>
            <w:tabs>
              <w:tab w:val="left" w:pos="720"/>
              <w:tab w:val="right" w:leader="dot" w:pos="9628"/>
            </w:tabs>
            <w:rPr>
              <w:rFonts w:eastAsiaTheme="minorEastAsia"/>
              <w:noProof/>
              <w:sz w:val="24"/>
              <w:szCs w:val="24"/>
              <w:lang w:eastAsia="it-IT"/>
            </w:rPr>
          </w:pPr>
          <w:hyperlink w:anchor="_Toc185431856" w:history="1">
            <w:r w:rsidRPr="00604101">
              <w:rPr>
                <w:rStyle w:val="Collegamentoipertestuale"/>
                <w:rFonts w:ascii="Wingdings" w:hAnsi="Wingdings"/>
                <w:bCs/>
                <w:noProof/>
                <w:lang w:val="en-US"/>
              </w:rPr>
              <w:t></w:t>
            </w:r>
            <w:r>
              <w:rPr>
                <w:rFonts w:eastAsiaTheme="minorEastAsia"/>
                <w:noProof/>
                <w:sz w:val="24"/>
                <w:szCs w:val="24"/>
                <w:lang w:eastAsia="it-IT"/>
              </w:rPr>
              <w:tab/>
            </w:r>
            <w:r w:rsidRPr="00604101">
              <w:rPr>
                <w:rStyle w:val="Collegamentoipertestuale"/>
                <w:rFonts w:ascii="Bookman Old Style" w:hAnsi="Bookman Old Style"/>
                <w:b/>
                <w:bCs/>
                <w:noProof/>
                <w:lang w:val="en-US"/>
              </w:rPr>
              <w:t>Rinnovo bus TPL (Art.80 bis)</w:t>
            </w:r>
            <w:r>
              <w:rPr>
                <w:noProof/>
                <w:webHidden/>
              </w:rPr>
              <w:tab/>
            </w:r>
            <w:r>
              <w:rPr>
                <w:noProof/>
                <w:webHidden/>
              </w:rPr>
              <w:fldChar w:fldCharType="begin"/>
            </w:r>
            <w:r>
              <w:rPr>
                <w:noProof/>
                <w:webHidden/>
              </w:rPr>
              <w:instrText xml:space="preserve"> PAGEREF _Toc185431856 \h </w:instrText>
            </w:r>
            <w:r>
              <w:rPr>
                <w:noProof/>
                <w:webHidden/>
              </w:rPr>
            </w:r>
            <w:r>
              <w:rPr>
                <w:noProof/>
                <w:webHidden/>
              </w:rPr>
              <w:fldChar w:fldCharType="separate"/>
            </w:r>
            <w:r w:rsidR="00492A7F">
              <w:rPr>
                <w:noProof/>
                <w:webHidden/>
              </w:rPr>
              <w:t>6</w:t>
            </w:r>
            <w:r>
              <w:rPr>
                <w:noProof/>
                <w:webHidden/>
              </w:rPr>
              <w:fldChar w:fldCharType="end"/>
            </w:r>
          </w:hyperlink>
        </w:p>
        <w:p w14:paraId="1154BDEF" w14:textId="76FC0883" w:rsidR="00976966" w:rsidRDefault="00976966">
          <w:pPr>
            <w:pStyle w:val="Sommario1"/>
            <w:tabs>
              <w:tab w:val="right" w:leader="dot" w:pos="9628"/>
            </w:tabs>
            <w:rPr>
              <w:rFonts w:eastAsiaTheme="minorEastAsia"/>
              <w:noProof/>
              <w:sz w:val="24"/>
              <w:szCs w:val="24"/>
              <w:lang w:eastAsia="it-IT"/>
            </w:rPr>
          </w:pPr>
          <w:hyperlink w:anchor="_Toc185431857" w:history="1">
            <w:r w:rsidRPr="00604101">
              <w:rPr>
                <w:rStyle w:val="Collegamentoipertestuale"/>
                <w:rFonts w:ascii="Bookman Old Style" w:hAnsi="Bookman Old Style"/>
                <w:b/>
                <w:bCs/>
                <w:noProof/>
              </w:rPr>
              <w:t>FONDI</w:t>
            </w:r>
            <w:r>
              <w:rPr>
                <w:noProof/>
                <w:webHidden/>
              </w:rPr>
              <w:tab/>
            </w:r>
            <w:r>
              <w:rPr>
                <w:noProof/>
                <w:webHidden/>
              </w:rPr>
              <w:fldChar w:fldCharType="begin"/>
            </w:r>
            <w:r>
              <w:rPr>
                <w:noProof/>
                <w:webHidden/>
              </w:rPr>
              <w:instrText xml:space="preserve"> PAGEREF _Toc185431857 \h </w:instrText>
            </w:r>
            <w:r>
              <w:rPr>
                <w:noProof/>
                <w:webHidden/>
              </w:rPr>
            </w:r>
            <w:r>
              <w:rPr>
                <w:noProof/>
                <w:webHidden/>
              </w:rPr>
              <w:fldChar w:fldCharType="separate"/>
            </w:r>
            <w:r w:rsidR="00492A7F">
              <w:rPr>
                <w:noProof/>
                <w:webHidden/>
              </w:rPr>
              <w:t>6</w:t>
            </w:r>
            <w:r>
              <w:rPr>
                <w:noProof/>
                <w:webHidden/>
              </w:rPr>
              <w:fldChar w:fldCharType="end"/>
            </w:r>
          </w:hyperlink>
        </w:p>
        <w:p w14:paraId="7B072F8B" w14:textId="41B65983" w:rsidR="00976966" w:rsidRDefault="00976966">
          <w:pPr>
            <w:pStyle w:val="Sommario2"/>
            <w:tabs>
              <w:tab w:val="left" w:pos="720"/>
              <w:tab w:val="right" w:leader="dot" w:pos="9628"/>
            </w:tabs>
            <w:rPr>
              <w:rFonts w:eastAsiaTheme="minorEastAsia"/>
              <w:noProof/>
              <w:sz w:val="24"/>
              <w:szCs w:val="24"/>
              <w:lang w:eastAsia="it-IT"/>
            </w:rPr>
          </w:pPr>
          <w:hyperlink w:anchor="_Toc185431858"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destinato ai Comuni per il contrasto povertà alimentare a scuola (Art. 16, comma 3 bis)</w:t>
            </w:r>
            <w:r>
              <w:rPr>
                <w:noProof/>
                <w:webHidden/>
              </w:rPr>
              <w:tab/>
            </w:r>
            <w:r>
              <w:rPr>
                <w:noProof/>
                <w:webHidden/>
              </w:rPr>
              <w:fldChar w:fldCharType="begin"/>
            </w:r>
            <w:r>
              <w:rPr>
                <w:noProof/>
                <w:webHidden/>
              </w:rPr>
              <w:instrText xml:space="preserve"> PAGEREF _Toc185431858 \h </w:instrText>
            </w:r>
            <w:r>
              <w:rPr>
                <w:noProof/>
                <w:webHidden/>
              </w:rPr>
            </w:r>
            <w:r>
              <w:rPr>
                <w:noProof/>
                <w:webHidden/>
              </w:rPr>
              <w:fldChar w:fldCharType="separate"/>
            </w:r>
            <w:r w:rsidR="00492A7F">
              <w:rPr>
                <w:noProof/>
                <w:webHidden/>
              </w:rPr>
              <w:t>6</w:t>
            </w:r>
            <w:r>
              <w:rPr>
                <w:noProof/>
                <w:webHidden/>
              </w:rPr>
              <w:fldChar w:fldCharType="end"/>
            </w:r>
          </w:hyperlink>
        </w:p>
        <w:p w14:paraId="5DB7F0C3" w14:textId="68B92A5C" w:rsidR="00976966" w:rsidRDefault="00976966">
          <w:pPr>
            <w:pStyle w:val="Sommario2"/>
            <w:tabs>
              <w:tab w:val="left" w:pos="720"/>
              <w:tab w:val="right" w:leader="dot" w:pos="9628"/>
            </w:tabs>
            <w:rPr>
              <w:rFonts w:eastAsiaTheme="minorEastAsia"/>
              <w:noProof/>
              <w:sz w:val="24"/>
              <w:szCs w:val="24"/>
              <w:lang w:eastAsia="it-IT"/>
            </w:rPr>
          </w:pPr>
          <w:hyperlink w:anchor="_Toc185431859"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morosità incolpevole (Art. 17 bis)</w:t>
            </w:r>
            <w:r>
              <w:rPr>
                <w:noProof/>
                <w:webHidden/>
              </w:rPr>
              <w:tab/>
            </w:r>
            <w:r>
              <w:rPr>
                <w:noProof/>
                <w:webHidden/>
              </w:rPr>
              <w:fldChar w:fldCharType="begin"/>
            </w:r>
            <w:r>
              <w:rPr>
                <w:noProof/>
                <w:webHidden/>
              </w:rPr>
              <w:instrText xml:space="preserve"> PAGEREF _Toc185431859 \h </w:instrText>
            </w:r>
            <w:r>
              <w:rPr>
                <w:noProof/>
                <w:webHidden/>
              </w:rPr>
            </w:r>
            <w:r>
              <w:rPr>
                <w:noProof/>
                <w:webHidden/>
              </w:rPr>
              <w:fldChar w:fldCharType="separate"/>
            </w:r>
            <w:r w:rsidR="00492A7F">
              <w:rPr>
                <w:noProof/>
                <w:webHidden/>
              </w:rPr>
              <w:t>6</w:t>
            </w:r>
            <w:r>
              <w:rPr>
                <w:noProof/>
                <w:webHidden/>
              </w:rPr>
              <w:fldChar w:fldCharType="end"/>
            </w:r>
          </w:hyperlink>
        </w:p>
        <w:p w14:paraId="749C600C" w14:textId="30FFEBF6" w:rsidR="00976966" w:rsidRDefault="00976966">
          <w:pPr>
            <w:pStyle w:val="Sommario1"/>
            <w:tabs>
              <w:tab w:val="right" w:leader="dot" w:pos="9628"/>
            </w:tabs>
            <w:rPr>
              <w:rFonts w:eastAsiaTheme="minorEastAsia"/>
              <w:noProof/>
              <w:sz w:val="24"/>
              <w:szCs w:val="24"/>
              <w:lang w:eastAsia="it-IT"/>
            </w:rPr>
          </w:pPr>
          <w:hyperlink w:anchor="_Toc185431860" w:history="1">
            <w:r w:rsidRPr="00604101">
              <w:rPr>
                <w:rStyle w:val="Collegamentoipertestuale"/>
                <w:rFonts w:ascii="Bookman Old Style" w:hAnsi="Bookman Old Style"/>
                <w:b/>
                <w:bCs/>
                <w:noProof/>
              </w:rPr>
              <w:t>WELFARE</w:t>
            </w:r>
            <w:r>
              <w:rPr>
                <w:noProof/>
                <w:webHidden/>
              </w:rPr>
              <w:tab/>
            </w:r>
            <w:r>
              <w:rPr>
                <w:noProof/>
                <w:webHidden/>
              </w:rPr>
              <w:fldChar w:fldCharType="begin"/>
            </w:r>
            <w:r>
              <w:rPr>
                <w:noProof/>
                <w:webHidden/>
              </w:rPr>
              <w:instrText xml:space="preserve"> PAGEREF _Toc185431860 \h </w:instrText>
            </w:r>
            <w:r>
              <w:rPr>
                <w:noProof/>
                <w:webHidden/>
              </w:rPr>
            </w:r>
            <w:r>
              <w:rPr>
                <w:noProof/>
                <w:webHidden/>
              </w:rPr>
              <w:fldChar w:fldCharType="separate"/>
            </w:r>
            <w:r w:rsidR="00492A7F">
              <w:rPr>
                <w:noProof/>
                <w:webHidden/>
              </w:rPr>
              <w:t>7</w:t>
            </w:r>
            <w:r>
              <w:rPr>
                <w:noProof/>
                <w:webHidden/>
              </w:rPr>
              <w:fldChar w:fldCharType="end"/>
            </w:r>
          </w:hyperlink>
        </w:p>
        <w:p w14:paraId="2E1DAC30" w14:textId="1B7AA3E7" w:rsidR="00976966" w:rsidRDefault="00976966">
          <w:pPr>
            <w:pStyle w:val="Sommario2"/>
            <w:tabs>
              <w:tab w:val="left" w:pos="720"/>
              <w:tab w:val="right" w:leader="dot" w:pos="9628"/>
            </w:tabs>
            <w:rPr>
              <w:rFonts w:eastAsiaTheme="minorEastAsia"/>
              <w:noProof/>
              <w:sz w:val="24"/>
              <w:szCs w:val="24"/>
              <w:lang w:eastAsia="it-IT"/>
            </w:rPr>
          </w:pPr>
          <w:hyperlink w:anchor="_Toc185431861"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Modalità utilizzo fondo unico inclusione disabilità (Art. 38)</w:t>
            </w:r>
            <w:r>
              <w:rPr>
                <w:noProof/>
                <w:webHidden/>
              </w:rPr>
              <w:tab/>
            </w:r>
            <w:r>
              <w:rPr>
                <w:noProof/>
                <w:webHidden/>
              </w:rPr>
              <w:fldChar w:fldCharType="begin"/>
            </w:r>
            <w:r>
              <w:rPr>
                <w:noProof/>
                <w:webHidden/>
              </w:rPr>
              <w:instrText xml:space="preserve"> PAGEREF _Toc185431861 \h </w:instrText>
            </w:r>
            <w:r>
              <w:rPr>
                <w:noProof/>
                <w:webHidden/>
              </w:rPr>
            </w:r>
            <w:r>
              <w:rPr>
                <w:noProof/>
                <w:webHidden/>
              </w:rPr>
              <w:fldChar w:fldCharType="separate"/>
            </w:r>
            <w:r w:rsidR="00492A7F">
              <w:rPr>
                <w:noProof/>
                <w:webHidden/>
              </w:rPr>
              <w:t>7</w:t>
            </w:r>
            <w:r>
              <w:rPr>
                <w:noProof/>
                <w:webHidden/>
              </w:rPr>
              <w:fldChar w:fldCharType="end"/>
            </w:r>
          </w:hyperlink>
        </w:p>
        <w:p w14:paraId="436382C8" w14:textId="3E96DDF9" w:rsidR="00976966" w:rsidRDefault="00976966">
          <w:pPr>
            <w:pStyle w:val="Sommario1"/>
            <w:tabs>
              <w:tab w:val="right" w:leader="dot" w:pos="9628"/>
            </w:tabs>
            <w:rPr>
              <w:rFonts w:eastAsiaTheme="minorEastAsia"/>
              <w:noProof/>
              <w:sz w:val="24"/>
              <w:szCs w:val="24"/>
              <w:lang w:eastAsia="it-IT"/>
            </w:rPr>
          </w:pPr>
          <w:hyperlink w:anchor="_Toc185431862" w:history="1">
            <w:r w:rsidRPr="00604101">
              <w:rPr>
                <w:rStyle w:val="Collegamentoipertestuale"/>
                <w:rFonts w:ascii="Bookman Old Style" w:hAnsi="Bookman Old Style"/>
                <w:b/>
                <w:bCs/>
                <w:noProof/>
              </w:rPr>
              <w:t>SCUOLA</w:t>
            </w:r>
            <w:r>
              <w:rPr>
                <w:noProof/>
                <w:webHidden/>
              </w:rPr>
              <w:tab/>
            </w:r>
            <w:r>
              <w:rPr>
                <w:noProof/>
                <w:webHidden/>
              </w:rPr>
              <w:fldChar w:fldCharType="begin"/>
            </w:r>
            <w:r>
              <w:rPr>
                <w:noProof/>
                <w:webHidden/>
              </w:rPr>
              <w:instrText xml:space="preserve"> PAGEREF _Toc185431862 \h </w:instrText>
            </w:r>
            <w:r>
              <w:rPr>
                <w:noProof/>
                <w:webHidden/>
              </w:rPr>
            </w:r>
            <w:r>
              <w:rPr>
                <w:noProof/>
                <w:webHidden/>
              </w:rPr>
              <w:fldChar w:fldCharType="separate"/>
            </w:r>
            <w:r w:rsidR="00492A7F">
              <w:rPr>
                <w:noProof/>
                <w:webHidden/>
              </w:rPr>
              <w:t>7</w:t>
            </w:r>
            <w:r>
              <w:rPr>
                <w:noProof/>
                <w:webHidden/>
              </w:rPr>
              <w:fldChar w:fldCharType="end"/>
            </w:r>
          </w:hyperlink>
        </w:p>
        <w:p w14:paraId="5B9D0839" w14:textId="55B16D39" w:rsidR="00976966" w:rsidRDefault="00976966">
          <w:pPr>
            <w:pStyle w:val="Sommario2"/>
            <w:tabs>
              <w:tab w:val="left" w:pos="720"/>
              <w:tab w:val="right" w:leader="dot" w:pos="9628"/>
            </w:tabs>
            <w:rPr>
              <w:rFonts w:eastAsiaTheme="minorEastAsia"/>
              <w:noProof/>
              <w:sz w:val="24"/>
              <w:szCs w:val="24"/>
              <w:lang w:eastAsia="it-IT"/>
            </w:rPr>
          </w:pPr>
          <w:hyperlink w:anchor="_Toc185431863"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Istituzione fondo sostegno attività educative (Art. 33 bis)</w:t>
            </w:r>
            <w:r>
              <w:rPr>
                <w:noProof/>
                <w:webHidden/>
              </w:rPr>
              <w:tab/>
            </w:r>
            <w:r>
              <w:rPr>
                <w:noProof/>
                <w:webHidden/>
              </w:rPr>
              <w:fldChar w:fldCharType="begin"/>
            </w:r>
            <w:r>
              <w:rPr>
                <w:noProof/>
                <w:webHidden/>
              </w:rPr>
              <w:instrText xml:space="preserve"> PAGEREF _Toc185431863 \h </w:instrText>
            </w:r>
            <w:r>
              <w:rPr>
                <w:noProof/>
                <w:webHidden/>
              </w:rPr>
            </w:r>
            <w:r>
              <w:rPr>
                <w:noProof/>
                <w:webHidden/>
              </w:rPr>
              <w:fldChar w:fldCharType="separate"/>
            </w:r>
            <w:r w:rsidR="00492A7F">
              <w:rPr>
                <w:noProof/>
                <w:webHidden/>
              </w:rPr>
              <w:t>7</w:t>
            </w:r>
            <w:r>
              <w:rPr>
                <w:noProof/>
                <w:webHidden/>
              </w:rPr>
              <w:fldChar w:fldCharType="end"/>
            </w:r>
          </w:hyperlink>
        </w:p>
        <w:p w14:paraId="32515D2E" w14:textId="37DFD186" w:rsidR="00976966" w:rsidRDefault="00976966">
          <w:pPr>
            <w:pStyle w:val="Sommario2"/>
            <w:tabs>
              <w:tab w:val="left" w:pos="720"/>
              <w:tab w:val="right" w:leader="dot" w:pos="9628"/>
            </w:tabs>
            <w:rPr>
              <w:rFonts w:eastAsiaTheme="minorEastAsia"/>
              <w:noProof/>
              <w:sz w:val="24"/>
              <w:szCs w:val="24"/>
              <w:lang w:eastAsia="it-IT"/>
            </w:rPr>
          </w:pPr>
          <w:hyperlink w:anchor="_Toc185431864"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Aumento organico dell’autonomia per alunni con disabilità (Art. 84 comma 1-bis)</w:t>
            </w:r>
            <w:r>
              <w:rPr>
                <w:noProof/>
                <w:webHidden/>
              </w:rPr>
              <w:tab/>
            </w:r>
            <w:r>
              <w:rPr>
                <w:noProof/>
                <w:webHidden/>
              </w:rPr>
              <w:fldChar w:fldCharType="begin"/>
            </w:r>
            <w:r>
              <w:rPr>
                <w:noProof/>
                <w:webHidden/>
              </w:rPr>
              <w:instrText xml:space="preserve"> PAGEREF _Toc185431864 \h </w:instrText>
            </w:r>
            <w:r>
              <w:rPr>
                <w:noProof/>
                <w:webHidden/>
              </w:rPr>
            </w:r>
            <w:r>
              <w:rPr>
                <w:noProof/>
                <w:webHidden/>
              </w:rPr>
              <w:fldChar w:fldCharType="separate"/>
            </w:r>
            <w:r w:rsidR="00492A7F">
              <w:rPr>
                <w:noProof/>
                <w:webHidden/>
              </w:rPr>
              <w:t>7</w:t>
            </w:r>
            <w:r>
              <w:rPr>
                <w:noProof/>
                <w:webHidden/>
              </w:rPr>
              <w:fldChar w:fldCharType="end"/>
            </w:r>
          </w:hyperlink>
        </w:p>
        <w:p w14:paraId="76708BD1" w14:textId="627C459E" w:rsidR="00976966" w:rsidRDefault="00976966">
          <w:pPr>
            <w:pStyle w:val="Sommario1"/>
            <w:tabs>
              <w:tab w:val="right" w:leader="dot" w:pos="9628"/>
            </w:tabs>
            <w:rPr>
              <w:rFonts w:eastAsiaTheme="minorEastAsia"/>
              <w:noProof/>
              <w:sz w:val="24"/>
              <w:szCs w:val="24"/>
              <w:lang w:eastAsia="it-IT"/>
            </w:rPr>
          </w:pPr>
          <w:hyperlink w:anchor="_Toc185431865" w:history="1">
            <w:r w:rsidRPr="00604101">
              <w:rPr>
                <w:rStyle w:val="Collegamentoipertestuale"/>
                <w:rFonts w:ascii="Bookman Old Style" w:hAnsi="Bookman Old Style"/>
                <w:b/>
                <w:bCs/>
                <w:noProof/>
              </w:rPr>
              <w:t>CULTURA</w:t>
            </w:r>
            <w:r>
              <w:rPr>
                <w:noProof/>
                <w:webHidden/>
              </w:rPr>
              <w:tab/>
            </w:r>
            <w:r>
              <w:rPr>
                <w:noProof/>
                <w:webHidden/>
              </w:rPr>
              <w:fldChar w:fldCharType="begin"/>
            </w:r>
            <w:r>
              <w:rPr>
                <w:noProof/>
                <w:webHidden/>
              </w:rPr>
              <w:instrText xml:space="preserve"> PAGEREF _Toc185431865 \h </w:instrText>
            </w:r>
            <w:r>
              <w:rPr>
                <w:noProof/>
                <w:webHidden/>
              </w:rPr>
            </w:r>
            <w:r>
              <w:rPr>
                <w:noProof/>
                <w:webHidden/>
              </w:rPr>
              <w:fldChar w:fldCharType="separate"/>
            </w:r>
            <w:r w:rsidR="00492A7F">
              <w:rPr>
                <w:noProof/>
                <w:webHidden/>
              </w:rPr>
              <w:t>8</w:t>
            </w:r>
            <w:r>
              <w:rPr>
                <w:noProof/>
                <w:webHidden/>
              </w:rPr>
              <w:fldChar w:fldCharType="end"/>
            </w:r>
          </w:hyperlink>
        </w:p>
        <w:p w14:paraId="56B0D686" w14:textId="756E99B6" w:rsidR="00976966" w:rsidRDefault="00976966">
          <w:pPr>
            <w:pStyle w:val="Sommario2"/>
            <w:tabs>
              <w:tab w:val="left" w:pos="720"/>
              <w:tab w:val="right" w:leader="dot" w:pos="9628"/>
            </w:tabs>
            <w:rPr>
              <w:rFonts w:eastAsiaTheme="minorEastAsia"/>
              <w:noProof/>
              <w:sz w:val="24"/>
              <w:szCs w:val="24"/>
              <w:lang w:eastAsia="it-IT"/>
            </w:rPr>
          </w:pPr>
          <w:hyperlink w:anchor="_Toc185431866"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Fondo nazionale per lo spettacolo dal vivo (Art. 88, comma 4 bis)</w:t>
            </w:r>
            <w:r>
              <w:rPr>
                <w:noProof/>
                <w:webHidden/>
              </w:rPr>
              <w:tab/>
            </w:r>
            <w:r>
              <w:rPr>
                <w:noProof/>
                <w:webHidden/>
              </w:rPr>
              <w:fldChar w:fldCharType="begin"/>
            </w:r>
            <w:r>
              <w:rPr>
                <w:noProof/>
                <w:webHidden/>
              </w:rPr>
              <w:instrText xml:space="preserve"> PAGEREF _Toc185431866 \h </w:instrText>
            </w:r>
            <w:r>
              <w:rPr>
                <w:noProof/>
                <w:webHidden/>
              </w:rPr>
            </w:r>
            <w:r>
              <w:rPr>
                <w:noProof/>
                <w:webHidden/>
              </w:rPr>
              <w:fldChar w:fldCharType="separate"/>
            </w:r>
            <w:r w:rsidR="00492A7F">
              <w:rPr>
                <w:noProof/>
                <w:webHidden/>
              </w:rPr>
              <w:t>8</w:t>
            </w:r>
            <w:r>
              <w:rPr>
                <w:noProof/>
                <w:webHidden/>
              </w:rPr>
              <w:fldChar w:fldCharType="end"/>
            </w:r>
          </w:hyperlink>
        </w:p>
        <w:p w14:paraId="5922A76C" w14:textId="732C1E81" w:rsidR="00976966" w:rsidRDefault="00976966">
          <w:pPr>
            <w:pStyle w:val="Sommario1"/>
            <w:tabs>
              <w:tab w:val="right" w:leader="dot" w:pos="9628"/>
            </w:tabs>
            <w:rPr>
              <w:rFonts w:eastAsiaTheme="minorEastAsia"/>
              <w:noProof/>
              <w:sz w:val="24"/>
              <w:szCs w:val="24"/>
              <w:lang w:eastAsia="it-IT"/>
            </w:rPr>
          </w:pPr>
          <w:hyperlink w:anchor="_Toc185431867" w:history="1">
            <w:r w:rsidRPr="00604101">
              <w:rPr>
                <w:rStyle w:val="Collegamentoipertestuale"/>
                <w:rFonts w:ascii="Bookman Old Style" w:hAnsi="Bookman Old Style"/>
                <w:b/>
                <w:bCs/>
                <w:noProof/>
              </w:rPr>
              <w:t>SICUREZZA E LEGALITÀ</w:t>
            </w:r>
            <w:r>
              <w:rPr>
                <w:noProof/>
                <w:webHidden/>
              </w:rPr>
              <w:tab/>
            </w:r>
            <w:r>
              <w:rPr>
                <w:noProof/>
                <w:webHidden/>
              </w:rPr>
              <w:fldChar w:fldCharType="begin"/>
            </w:r>
            <w:r>
              <w:rPr>
                <w:noProof/>
                <w:webHidden/>
              </w:rPr>
              <w:instrText xml:space="preserve"> PAGEREF _Toc185431867 \h </w:instrText>
            </w:r>
            <w:r>
              <w:rPr>
                <w:noProof/>
                <w:webHidden/>
              </w:rPr>
            </w:r>
            <w:r>
              <w:rPr>
                <w:noProof/>
                <w:webHidden/>
              </w:rPr>
              <w:fldChar w:fldCharType="separate"/>
            </w:r>
            <w:r w:rsidR="00492A7F">
              <w:rPr>
                <w:noProof/>
                <w:webHidden/>
              </w:rPr>
              <w:t>8</w:t>
            </w:r>
            <w:r>
              <w:rPr>
                <w:noProof/>
                <w:webHidden/>
              </w:rPr>
              <w:fldChar w:fldCharType="end"/>
            </w:r>
          </w:hyperlink>
        </w:p>
        <w:p w14:paraId="217DC4C9" w14:textId="222204ED" w:rsidR="00976966" w:rsidRDefault="00976966">
          <w:pPr>
            <w:pStyle w:val="Sommario2"/>
            <w:tabs>
              <w:tab w:val="left" w:pos="720"/>
              <w:tab w:val="right" w:leader="dot" w:pos="9628"/>
            </w:tabs>
            <w:rPr>
              <w:rFonts w:eastAsiaTheme="minorEastAsia"/>
              <w:noProof/>
              <w:sz w:val="24"/>
              <w:szCs w:val="24"/>
              <w:lang w:eastAsia="it-IT"/>
            </w:rPr>
          </w:pPr>
          <w:hyperlink w:anchor="_Toc185431868" w:history="1">
            <w:r w:rsidRPr="00604101">
              <w:rPr>
                <w:rStyle w:val="Collegamentoipertestuale"/>
                <w:rFonts w:ascii="Wingdings" w:hAnsi="Wingdings"/>
                <w:bCs/>
                <w:noProof/>
              </w:rPr>
              <w:t></w:t>
            </w:r>
            <w:r>
              <w:rPr>
                <w:rFonts w:eastAsiaTheme="minorEastAsia"/>
                <w:noProof/>
                <w:sz w:val="24"/>
                <w:szCs w:val="24"/>
                <w:lang w:eastAsia="it-IT"/>
              </w:rPr>
              <w:tab/>
            </w:r>
            <w:r w:rsidRPr="00604101">
              <w:rPr>
                <w:rStyle w:val="Collegamentoipertestuale"/>
                <w:rFonts w:ascii="Bookman Old Style" w:hAnsi="Bookman Old Style"/>
                <w:b/>
                <w:bCs/>
                <w:noProof/>
              </w:rPr>
              <w:t>Incremento del fondo per la legalità (Art. 101 ter)</w:t>
            </w:r>
            <w:r>
              <w:rPr>
                <w:noProof/>
                <w:webHidden/>
              </w:rPr>
              <w:tab/>
            </w:r>
            <w:r>
              <w:rPr>
                <w:noProof/>
                <w:webHidden/>
              </w:rPr>
              <w:fldChar w:fldCharType="begin"/>
            </w:r>
            <w:r>
              <w:rPr>
                <w:noProof/>
                <w:webHidden/>
              </w:rPr>
              <w:instrText xml:space="preserve"> PAGEREF _Toc185431868 \h </w:instrText>
            </w:r>
            <w:r>
              <w:rPr>
                <w:noProof/>
                <w:webHidden/>
              </w:rPr>
            </w:r>
            <w:r>
              <w:rPr>
                <w:noProof/>
                <w:webHidden/>
              </w:rPr>
              <w:fldChar w:fldCharType="separate"/>
            </w:r>
            <w:r w:rsidR="00492A7F">
              <w:rPr>
                <w:noProof/>
                <w:webHidden/>
              </w:rPr>
              <w:t>8</w:t>
            </w:r>
            <w:r>
              <w:rPr>
                <w:noProof/>
                <w:webHidden/>
              </w:rPr>
              <w:fldChar w:fldCharType="end"/>
            </w:r>
          </w:hyperlink>
        </w:p>
        <w:p w14:paraId="13DECDA3" w14:textId="70F311BB" w:rsidR="00684504" w:rsidRPr="002F54D0" w:rsidRDefault="00684504">
          <w:pPr>
            <w:rPr>
              <w:rFonts w:ascii="Bookman Old Style" w:hAnsi="Bookman Old Style"/>
            </w:rPr>
          </w:pPr>
          <w:r w:rsidRPr="002F54D0">
            <w:rPr>
              <w:rFonts w:ascii="Bookman Old Style" w:hAnsi="Bookman Old Style"/>
              <w:b/>
              <w:bCs/>
            </w:rPr>
            <w:fldChar w:fldCharType="end"/>
          </w:r>
        </w:p>
      </w:sdtContent>
    </w:sdt>
    <w:p w14:paraId="1CEFA292" w14:textId="77777777" w:rsidR="00684504" w:rsidRPr="002F54D0" w:rsidRDefault="00684504" w:rsidP="00B97B5A">
      <w:pPr>
        <w:pStyle w:val="Titolo2"/>
        <w:rPr>
          <w:rFonts w:ascii="Bookman Old Style" w:hAnsi="Bookman Old Style"/>
          <w:sz w:val="22"/>
          <w:szCs w:val="22"/>
        </w:rPr>
      </w:pPr>
    </w:p>
    <w:p w14:paraId="1F58290D" w14:textId="2840E600" w:rsidR="007C10F1" w:rsidRPr="002F54D0" w:rsidRDefault="007C10F1" w:rsidP="00C04B5A">
      <w:pPr>
        <w:pStyle w:val="Titolo1"/>
        <w:rPr>
          <w:rFonts w:ascii="Bookman Old Style" w:hAnsi="Bookman Old Style"/>
          <w:b/>
          <w:bCs/>
          <w:sz w:val="22"/>
          <w:szCs w:val="22"/>
        </w:rPr>
      </w:pPr>
      <w:bookmarkStart w:id="0" w:name="_Toc185431838"/>
      <w:r w:rsidRPr="002F54D0">
        <w:rPr>
          <w:rFonts w:ascii="Bookman Old Style" w:hAnsi="Bookman Old Style"/>
          <w:b/>
          <w:bCs/>
          <w:sz w:val="22"/>
          <w:szCs w:val="22"/>
        </w:rPr>
        <w:t>PERSONALE</w:t>
      </w:r>
      <w:bookmarkEnd w:id="0"/>
    </w:p>
    <w:p w14:paraId="02D3D70E" w14:textId="77777777" w:rsidR="007C10F1" w:rsidRPr="00C4473E" w:rsidRDefault="007C10F1" w:rsidP="004D569C">
      <w:pPr>
        <w:pStyle w:val="Titolo2"/>
        <w:numPr>
          <w:ilvl w:val="0"/>
          <w:numId w:val="4"/>
        </w:numPr>
        <w:rPr>
          <w:rFonts w:ascii="Bookman Old Style" w:hAnsi="Bookman Old Style"/>
          <w:b/>
          <w:bCs/>
          <w:sz w:val="22"/>
          <w:szCs w:val="22"/>
        </w:rPr>
      </w:pPr>
      <w:bookmarkStart w:id="1" w:name="_Toc185431839"/>
      <w:r w:rsidRPr="00C4473E">
        <w:rPr>
          <w:rFonts w:ascii="Bookman Old Style" w:hAnsi="Bookman Old Style"/>
          <w:b/>
          <w:bCs/>
          <w:sz w:val="22"/>
          <w:szCs w:val="22"/>
        </w:rPr>
        <w:t>Abrogazione riduzione del 25% del turn over (Art. 110)</w:t>
      </w:r>
      <w:bookmarkEnd w:id="1"/>
    </w:p>
    <w:p w14:paraId="19E2991F" w14:textId="7CA3131E" w:rsidR="00A15DA2" w:rsidRPr="002F54D0" w:rsidRDefault="00A15DA2" w:rsidP="00C04B5A">
      <w:pPr>
        <w:jc w:val="both"/>
        <w:rPr>
          <w:rFonts w:ascii="Bookman Old Style" w:hAnsi="Bookman Old Style"/>
        </w:rPr>
      </w:pPr>
      <w:r w:rsidRPr="002F54D0">
        <w:rPr>
          <w:rFonts w:ascii="Bookman Old Style" w:hAnsi="Bookman Old Style"/>
        </w:rPr>
        <w:t xml:space="preserve">La norma, richiesta dall’ANCI e approvata in commissione bilancio, abroga la disposizione che prevedeva per l'anno 2025 una riduzione del 25% del turn over per gli enti territoriali con più di venti dipendenti in servizio. Ciò consente la continuità dei servizi erogati dai Comuni, tenuto conto della forte riduzione di personale indotta dai vincoli </w:t>
      </w:r>
      <w:proofErr w:type="spellStart"/>
      <w:r w:rsidRPr="002F54D0">
        <w:rPr>
          <w:rFonts w:ascii="Bookman Old Style" w:hAnsi="Bookman Old Style"/>
        </w:rPr>
        <w:t>assunzionali</w:t>
      </w:r>
      <w:proofErr w:type="spellEnd"/>
      <w:r w:rsidRPr="002F54D0">
        <w:rPr>
          <w:rFonts w:ascii="Bookman Old Style" w:hAnsi="Bookman Old Style"/>
        </w:rPr>
        <w:t xml:space="preserve"> già vigenti da oltre un decennio, </w:t>
      </w:r>
      <w:r w:rsidR="00476CF7">
        <w:rPr>
          <w:rFonts w:ascii="Bookman Old Style" w:hAnsi="Bookman Old Style"/>
        </w:rPr>
        <w:t xml:space="preserve">e il mantenimento del </w:t>
      </w:r>
      <w:r w:rsidRPr="002F54D0">
        <w:rPr>
          <w:rFonts w:ascii="Bookman Old Style" w:hAnsi="Bookman Old Style"/>
        </w:rPr>
        <w:t xml:space="preserve">sistema di calcolo della capacità </w:t>
      </w:r>
      <w:proofErr w:type="spellStart"/>
      <w:r w:rsidRPr="002F54D0">
        <w:rPr>
          <w:rFonts w:ascii="Bookman Old Style" w:hAnsi="Bookman Old Style"/>
        </w:rPr>
        <w:t>assunzionale</w:t>
      </w:r>
      <w:proofErr w:type="spellEnd"/>
      <w:r w:rsidRPr="002F54D0">
        <w:rPr>
          <w:rFonts w:ascii="Bookman Old Style" w:hAnsi="Bookman Old Style"/>
        </w:rPr>
        <w:t xml:space="preserve"> </w:t>
      </w:r>
      <w:r w:rsidR="00476CF7">
        <w:rPr>
          <w:rFonts w:ascii="Bookman Old Style" w:hAnsi="Bookman Old Style"/>
        </w:rPr>
        <w:t xml:space="preserve">correlata alla </w:t>
      </w:r>
      <w:r w:rsidRPr="002F54D0">
        <w:rPr>
          <w:rFonts w:ascii="Bookman Old Style" w:hAnsi="Bookman Old Style"/>
        </w:rPr>
        <w:t xml:space="preserve">sostenibilità finanziaria </w:t>
      </w:r>
      <w:r w:rsidR="00476CF7">
        <w:rPr>
          <w:rFonts w:ascii="Bookman Old Style" w:hAnsi="Bookman Old Style"/>
        </w:rPr>
        <w:t xml:space="preserve">adottato </w:t>
      </w:r>
      <w:r w:rsidR="00476CF7" w:rsidRPr="002F54D0">
        <w:rPr>
          <w:rFonts w:ascii="Bookman Old Style" w:hAnsi="Bookman Old Style"/>
        </w:rPr>
        <w:t>a partire dal 2020</w:t>
      </w:r>
      <w:r w:rsidRPr="002F54D0">
        <w:rPr>
          <w:rFonts w:ascii="Bookman Old Style" w:hAnsi="Bookman Old Style"/>
        </w:rPr>
        <w:t>.</w:t>
      </w:r>
    </w:p>
    <w:p w14:paraId="251909EA" w14:textId="77008912" w:rsidR="00A15DA2" w:rsidRPr="002F54D0" w:rsidRDefault="00A15DA2" w:rsidP="00C04B5A">
      <w:pPr>
        <w:jc w:val="both"/>
        <w:rPr>
          <w:rFonts w:ascii="Bookman Old Style" w:hAnsi="Bookman Old Style"/>
        </w:rPr>
      </w:pPr>
      <w:r w:rsidRPr="002F54D0">
        <w:rPr>
          <w:rFonts w:ascii="Bookman Old Style" w:hAnsi="Bookman Old Style"/>
        </w:rPr>
        <w:t xml:space="preserve">Il sistema di calcolo attualmente vigente garantisce che solo gli enti con una minore rigidità strutturale di bilancio possano reintegrare gli organici, mentre i Comuni che presentano una forte incidenza della spesa di personale sono già tenuti ad attuare un turn over ridotto al 30% del personale cessato per </w:t>
      </w:r>
      <w:r w:rsidR="00476CF7">
        <w:rPr>
          <w:rFonts w:ascii="Bookman Old Style" w:hAnsi="Bookman Old Style"/>
        </w:rPr>
        <w:t xml:space="preserve">riportare sotto controllo </w:t>
      </w:r>
      <w:r w:rsidRPr="002F54D0">
        <w:rPr>
          <w:rFonts w:ascii="Bookman Old Style" w:hAnsi="Bookman Old Style"/>
        </w:rPr>
        <w:t xml:space="preserve">la spesa di personale. </w:t>
      </w:r>
    </w:p>
    <w:p w14:paraId="4C9E0CB4" w14:textId="748E8BDA" w:rsidR="00A15DA2" w:rsidRPr="002F54D0" w:rsidRDefault="00A15DA2" w:rsidP="00C04B5A">
      <w:pPr>
        <w:jc w:val="both"/>
        <w:rPr>
          <w:rFonts w:ascii="Bookman Old Style" w:hAnsi="Bookman Old Style"/>
        </w:rPr>
      </w:pPr>
      <w:r w:rsidRPr="002F54D0">
        <w:rPr>
          <w:rFonts w:ascii="Bookman Old Style" w:hAnsi="Bookman Old Style"/>
        </w:rPr>
        <w:t xml:space="preserve">Si fa inoltre presente che a decorrere dall’anno 2025 l’applicazione del DM 17 marzo 2020, relativo alla determinazione della capacità </w:t>
      </w:r>
      <w:proofErr w:type="spellStart"/>
      <w:r w:rsidRPr="002F54D0">
        <w:rPr>
          <w:rFonts w:ascii="Bookman Old Style" w:hAnsi="Bookman Old Style"/>
        </w:rPr>
        <w:t>assunzionale</w:t>
      </w:r>
      <w:proofErr w:type="spellEnd"/>
      <w:r w:rsidRPr="002F54D0">
        <w:rPr>
          <w:rFonts w:ascii="Bookman Old Style" w:hAnsi="Bookman Old Style"/>
        </w:rPr>
        <w:t xml:space="preserve"> dei Comuni, si semplificherà, in quanto non saranno più previste limitazioni alle percentuali annue di crescita della spesa di personale, ma dovranno essere rispettati esclusivamente i valori soglia </w:t>
      </w:r>
      <w:r w:rsidR="00476CF7">
        <w:rPr>
          <w:rFonts w:ascii="Bookman Old Style" w:hAnsi="Bookman Old Style"/>
        </w:rPr>
        <w:t xml:space="preserve">determinati </w:t>
      </w:r>
      <w:r w:rsidRPr="002F54D0">
        <w:rPr>
          <w:rFonts w:ascii="Bookman Old Style" w:hAnsi="Bookman Old Style"/>
        </w:rPr>
        <w:t>per classe demografica.</w:t>
      </w:r>
    </w:p>
    <w:p w14:paraId="4B759A6B" w14:textId="155C02C4" w:rsidR="006A5A3C" w:rsidRPr="00C4473E" w:rsidRDefault="006A5A3C" w:rsidP="004D569C">
      <w:pPr>
        <w:pStyle w:val="Titolo2"/>
        <w:numPr>
          <w:ilvl w:val="0"/>
          <w:numId w:val="4"/>
        </w:numPr>
        <w:rPr>
          <w:rFonts w:ascii="Bookman Old Style" w:hAnsi="Bookman Old Style"/>
          <w:b/>
          <w:bCs/>
          <w:sz w:val="22"/>
          <w:szCs w:val="22"/>
        </w:rPr>
      </w:pPr>
      <w:bookmarkStart w:id="2" w:name="_Toc185431840"/>
      <w:r w:rsidRPr="00C4473E">
        <w:rPr>
          <w:rFonts w:ascii="Bookman Old Style" w:hAnsi="Bookman Old Style"/>
          <w:b/>
          <w:bCs/>
          <w:sz w:val="22"/>
          <w:szCs w:val="22"/>
        </w:rPr>
        <w:t>Welfare contrattuale</w:t>
      </w:r>
      <w:r w:rsidR="003D23B4" w:rsidRPr="00C4473E">
        <w:rPr>
          <w:rFonts w:ascii="Bookman Old Style" w:hAnsi="Bookman Old Style"/>
          <w:b/>
          <w:bCs/>
          <w:sz w:val="22"/>
          <w:szCs w:val="22"/>
        </w:rPr>
        <w:t xml:space="preserve"> </w:t>
      </w:r>
      <w:r w:rsidR="009E3877" w:rsidRPr="00C4473E">
        <w:rPr>
          <w:rFonts w:ascii="Bookman Old Style" w:hAnsi="Bookman Old Style"/>
          <w:b/>
          <w:bCs/>
          <w:sz w:val="22"/>
          <w:szCs w:val="22"/>
        </w:rPr>
        <w:t>(</w:t>
      </w:r>
      <w:r w:rsidR="003D23B4" w:rsidRPr="00C4473E">
        <w:rPr>
          <w:rFonts w:ascii="Bookman Old Style" w:hAnsi="Bookman Old Style"/>
          <w:b/>
          <w:bCs/>
          <w:sz w:val="22"/>
          <w:szCs w:val="22"/>
        </w:rPr>
        <w:t>Art</w:t>
      </w:r>
      <w:r w:rsidR="009E3877" w:rsidRPr="00C4473E">
        <w:rPr>
          <w:rFonts w:ascii="Bookman Old Style" w:hAnsi="Bookman Old Style"/>
          <w:b/>
          <w:bCs/>
          <w:sz w:val="22"/>
          <w:szCs w:val="22"/>
        </w:rPr>
        <w:t>. 18, comm</w:t>
      </w:r>
      <w:r w:rsidR="00DD3B51" w:rsidRPr="00C4473E">
        <w:rPr>
          <w:rFonts w:ascii="Bookman Old Style" w:hAnsi="Bookman Old Style"/>
          <w:b/>
          <w:bCs/>
          <w:sz w:val="22"/>
          <w:szCs w:val="22"/>
        </w:rPr>
        <w:t>i</w:t>
      </w:r>
      <w:r w:rsidR="009E3877" w:rsidRPr="00C4473E">
        <w:rPr>
          <w:rFonts w:ascii="Bookman Old Style" w:hAnsi="Bookman Old Style"/>
          <w:b/>
          <w:bCs/>
          <w:sz w:val="22"/>
          <w:szCs w:val="22"/>
        </w:rPr>
        <w:t xml:space="preserve"> 3 bis</w:t>
      </w:r>
      <w:r w:rsidR="00896157" w:rsidRPr="00C4473E">
        <w:rPr>
          <w:rFonts w:ascii="Bookman Old Style" w:hAnsi="Bookman Old Style"/>
          <w:b/>
          <w:bCs/>
          <w:sz w:val="22"/>
          <w:szCs w:val="22"/>
        </w:rPr>
        <w:t xml:space="preserve">- 3 </w:t>
      </w:r>
      <w:proofErr w:type="spellStart"/>
      <w:r w:rsidR="00896157" w:rsidRPr="00C4473E">
        <w:rPr>
          <w:rFonts w:ascii="Bookman Old Style" w:hAnsi="Bookman Old Style"/>
          <w:b/>
          <w:bCs/>
          <w:sz w:val="22"/>
          <w:szCs w:val="22"/>
        </w:rPr>
        <w:t>quinquies</w:t>
      </w:r>
      <w:proofErr w:type="spellEnd"/>
      <w:r w:rsidR="009E3877" w:rsidRPr="00C4473E">
        <w:rPr>
          <w:rFonts w:ascii="Bookman Old Style" w:hAnsi="Bookman Old Style"/>
          <w:b/>
          <w:bCs/>
          <w:sz w:val="22"/>
          <w:szCs w:val="22"/>
        </w:rPr>
        <w:t>)</w:t>
      </w:r>
      <w:bookmarkEnd w:id="2"/>
    </w:p>
    <w:p w14:paraId="24AD522D" w14:textId="0E4B4E6D" w:rsidR="00896157" w:rsidRPr="00C4473E" w:rsidRDefault="00896157" w:rsidP="000B47E1">
      <w:pPr>
        <w:jc w:val="both"/>
        <w:rPr>
          <w:rFonts w:ascii="Bookman Old Style" w:hAnsi="Bookman Old Style"/>
          <w:b/>
          <w:bCs/>
        </w:rPr>
      </w:pPr>
      <w:r w:rsidRPr="002F54D0">
        <w:rPr>
          <w:rFonts w:ascii="Bookman Old Style" w:hAnsi="Bookman Old Style"/>
        </w:rPr>
        <w:t>La norma</w:t>
      </w:r>
      <w:r w:rsidR="00C4473E">
        <w:rPr>
          <w:rFonts w:ascii="Bookman Old Style" w:hAnsi="Bookman Old Style"/>
        </w:rPr>
        <w:t>,</w:t>
      </w:r>
      <w:r w:rsidRPr="002F54D0">
        <w:rPr>
          <w:rFonts w:ascii="Bookman Old Style" w:hAnsi="Bookman Old Style"/>
        </w:rPr>
        <w:t xml:space="preserve"> approvata in commissione bilancio, p</w:t>
      </w:r>
      <w:r w:rsidR="006A5A3C" w:rsidRPr="002F54D0">
        <w:rPr>
          <w:rFonts w:ascii="Bookman Old Style" w:hAnsi="Bookman Old Style"/>
        </w:rPr>
        <w:t xml:space="preserve">revede la soggezione al limite dei trattamenti economici accessori </w:t>
      </w:r>
      <w:r w:rsidR="00476CF7">
        <w:rPr>
          <w:rFonts w:ascii="Bookman Old Style" w:hAnsi="Bookman Old Style"/>
        </w:rPr>
        <w:t xml:space="preserve">di cui </w:t>
      </w:r>
      <w:r w:rsidR="006A5A3C" w:rsidRPr="002F54D0">
        <w:rPr>
          <w:rFonts w:ascii="Bookman Old Style" w:hAnsi="Bookman Old Style"/>
        </w:rPr>
        <w:t>all’art. 23</w:t>
      </w:r>
      <w:r w:rsidR="00476CF7">
        <w:rPr>
          <w:rFonts w:ascii="Bookman Old Style" w:hAnsi="Bookman Old Style"/>
        </w:rPr>
        <w:t>,</w:t>
      </w:r>
      <w:r w:rsidR="009E3877" w:rsidRPr="002F54D0">
        <w:rPr>
          <w:rFonts w:ascii="Bookman Old Style" w:hAnsi="Bookman Old Style"/>
        </w:rPr>
        <w:t xml:space="preserve"> c</w:t>
      </w:r>
      <w:r w:rsidR="006A5A3C" w:rsidRPr="002F54D0">
        <w:rPr>
          <w:rFonts w:ascii="Bookman Old Style" w:hAnsi="Bookman Old Style"/>
        </w:rPr>
        <w:t>omma 2, del DL n. 75/2017 delle risorse destinate, nell'ambito della contrattazione integrativa, a benefici di natura assistenziale e sociale in materia di welfare integrativo, fatte salve le risorse riconosciute a tale fine da specifiche disposizioni di legge o da previgenti norme di contratto collettivo nazionale.</w:t>
      </w:r>
      <w:r w:rsidR="00F27729">
        <w:rPr>
          <w:rFonts w:ascii="Bookman Old Style" w:hAnsi="Bookman Old Style"/>
        </w:rPr>
        <w:t xml:space="preserve"> Tale disposizione </w:t>
      </w:r>
      <w:r w:rsidR="008A5556">
        <w:rPr>
          <w:rFonts w:ascii="Bookman Old Style" w:hAnsi="Bookman Old Style"/>
        </w:rPr>
        <w:t>crea difficoltà operative ai Comuni</w:t>
      </w:r>
      <w:r w:rsidR="001C3B6E">
        <w:rPr>
          <w:rFonts w:ascii="Bookman Old Style" w:hAnsi="Bookman Old Style"/>
        </w:rPr>
        <w:t xml:space="preserve"> </w:t>
      </w:r>
      <w:r w:rsidR="00073255">
        <w:rPr>
          <w:rFonts w:ascii="Bookman Old Style" w:hAnsi="Bookman Old Style"/>
        </w:rPr>
        <w:t xml:space="preserve">e alle </w:t>
      </w:r>
      <w:r w:rsidR="00F37FD4">
        <w:rPr>
          <w:rFonts w:ascii="Bookman Old Style" w:hAnsi="Bookman Old Style"/>
        </w:rPr>
        <w:t>Città M</w:t>
      </w:r>
      <w:r w:rsidR="00404151">
        <w:rPr>
          <w:rFonts w:ascii="Bookman Old Style" w:hAnsi="Bookman Old Style"/>
        </w:rPr>
        <w:t>e</w:t>
      </w:r>
      <w:r w:rsidR="00F37FD4">
        <w:rPr>
          <w:rFonts w:ascii="Bookman Old Style" w:hAnsi="Bookman Old Style"/>
        </w:rPr>
        <w:t>tropolitane</w:t>
      </w:r>
      <w:r w:rsidR="00404151">
        <w:rPr>
          <w:rFonts w:ascii="Bookman Old Style" w:hAnsi="Bookman Old Style"/>
        </w:rPr>
        <w:t xml:space="preserve"> </w:t>
      </w:r>
      <w:r w:rsidR="00140B42">
        <w:rPr>
          <w:rFonts w:ascii="Bookman Old Style" w:hAnsi="Bookman Old Style"/>
        </w:rPr>
        <w:t xml:space="preserve">sede di contrattazione decentrata </w:t>
      </w:r>
      <w:r w:rsidR="00404151">
        <w:rPr>
          <w:rFonts w:ascii="Bookman Old Style" w:hAnsi="Bookman Old Style"/>
        </w:rPr>
        <w:t xml:space="preserve">integrativa </w:t>
      </w:r>
      <w:r w:rsidR="00716A0A">
        <w:rPr>
          <w:rFonts w:ascii="Bookman Old Style" w:hAnsi="Bookman Old Style"/>
        </w:rPr>
        <w:t xml:space="preserve">anche alla luce della </w:t>
      </w:r>
      <w:r w:rsidR="001C3B6E">
        <w:rPr>
          <w:rFonts w:ascii="Bookman Old Style" w:hAnsi="Bookman Old Style"/>
        </w:rPr>
        <w:t xml:space="preserve"> </w:t>
      </w:r>
      <w:r w:rsidR="00404151">
        <w:rPr>
          <w:rFonts w:ascii="Bookman Old Style" w:hAnsi="Bookman Old Style"/>
        </w:rPr>
        <w:t>recentissima pronuncia della sezione Autonomie della Corte dei Conti n. 17</w:t>
      </w:r>
      <w:r w:rsidR="008C3B83">
        <w:rPr>
          <w:rFonts w:ascii="Bookman Old Style" w:hAnsi="Bookman Old Style"/>
        </w:rPr>
        <w:t xml:space="preserve">/2024. </w:t>
      </w:r>
      <w:bookmarkStart w:id="3" w:name="_Toc185431841"/>
      <w:r w:rsidR="006A5A3C" w:rsidRPr="00C4473E">
        <w:rPr>
          <w:rFonts w:ascii="Bookman Old Style" w:hAnsi="Bookman Old Style"/>
          <w:b/>
          <w:bCs/>
        </w:rPr>
        <w:t>Mobilità di personale</w:t>
      </w:r>
      <w:r w:rsidR="003D23B4" w:rsidRPr="00C4473E">
        <w:rPr>
          <w:rFonts w:ascii="Bookman Old Style" w:hAnsi="Bookman Old Style"/>
          <w:b/>
          <w:bCs/>
        </w:rPr>
        <w:t xml:space="preserve"> </w:t>
      </w:r>
      <w:r w:rsidRPr="00C4473E">
        <w:rPr>
          <w:rFonts w:ascii="Bookman Old Style" w:hAnsi="Bookman Old Style"/>
          <w:b/>
          <w:bCs/>
        </w:rPr>
        <w:t xml:space="preserve">(Art. 18, commi 3 bis- 3 </w:t>
      </w:r>
      <w:proofErr w:type="spellStart"/>
      <w:r w:rsidRPr="00C4473E">
        <w:rPr>
          <w:rFonts w:ascii="Bookman Old Style" w:hAnsi="Bookman Old Style"/>
          <w:b/>
          <w:bCs/>
        </w:rPr>
        <w:t>quinquies</w:t>
      </w:r>
      <w:proofErr w:type="spellEnd"/>
      <w:r w:rsidRPr="00C4473E">
        <w:rPr>
          <w:rFonts w:ascii="Bookman Old Style" w:hAnsi="Bookman Old Style"/>
          <w:b/>
          <w:bCs/>
        </w:rPr>
        <w:t>)</w:t>
      </w:r>
      <w:bookmarkEnd w:id="3"/>
    </w:p>
    <w:p w14:paraId="04D1DB87" w14:textId="079A5242" w:rsidR="006A5A3C" w:rsidRPr="002F54D0" w:rsidRDefault="002F54D0" w:rsidP="002F54D0">
      <w:pPr>
        <w:jc w:val="both"/>
        <w:rPr>
          <w:rFonts w:ascii="Bookman Old Style" w:hAnsi="Bookman Old Style"/>
        </w:rPr>
      </w:pPr>
      <w:r w:rsidRPr="002F54D0">
        <w:rPr>
          <w:rFonts w:ascii="Bookman Old Style" w:hAnsi="Bookman Old Style"/>
        </w:rPr>
        <w:t>P</w:t>
      </w:r>
      <w:r w:rsidR="006A5A3C" w:rsidRPr="002F54D0">
        <w:rPr>
          <w:rFonts w:ascii="Bookman Old Style" w:hAnsi="Bookman Old Style"/>
        </w:rPr>
        <w:t xml:space="preserve">er gli enti che determinano la propria capacità </w:t>
      </w:r>
      <w:proofErr w:type="spellStart"/>
      <w:r w:rsidR="006A5A3C" w:rsidRPr="002F54D0">
        <w:rPr>
          <w:rFonts w:ascii="Bookman Old Style" w:hAnsi="Bookman Old Style"/>
        </w:rPr>
        <w:t>assunzionale</w:t>
      </w:r>
      <w:proofErr w:type="spellEnd"/>
      <w:r w:rsidR="006A5A3C" w:rsidRPr="002F54D0">
        <w:rPr>
          <w:rFonts w:ascii="Bookman Old Style" w:hAnsi="Bookman Old Style"/>
        </w:rPr>
        <w:t xml:space="preserve"> </w:t>
      </w:r>
      <w:r w:rsidR="00A87948">
        <w:rPr>
          <w:rFonts w:ascii="Bookman Old Style" w:hAnsi="Bookman Old Style"/>
        </w:rPr>
        <w:t>ancora</w:t>
      </w:r>
      <w:r w:rsidR="00E06F25">
        <w:rPr>
          <w:rFonts w:ascii="Bookman Old Style" w:hAnsi="Bookman Old Style"/>
        </w:rPr>
        <w:t xml:space="preserve"> </w:t>
      </w:r>
      <w:r w:rsidR="006A5A3C" w:rsidRPr="002F54D0">
        <w:rPr>
          <w:rFonts w:ascii="Bookman Old Style" w:hAnsi="Bookman Old Style"/>
        </w:rPr>
        <w:t xml:space="preserve">in base alla regola del turn-over, come </w:t>
      </w:r>
      <w:r w:rsidR="00E06F25">
        <w:rPr>
          <w:rFonts w:ascii="Bookman Old Style" w:hAnsi="Bookman Old Style"/>
        </w:rPr>
        <w:t xml:space="preserve">per </w:t>
      </w:r>
      <w:r w:rsidR="006A5A3C" w:rsidRPr="002F54D0">
        <w:rPr>
          <w:rFonts w:ascii="Bookman Old Style" w:hAnsi="Bookman Old Style"/>
        </w:rPr>
        <w:t xml:space="preserve">le Unioni di Comuni, viene disposto il superamento della c.d. neutralità finanziaria: per le procedure di mobilità attivate a partire dall’entrata in vigore della legge di bilancio le mobilità in uscita libereranno capacità </w:t>
      </w:r>
      <w:proofErr w:type="spellStart"/>
      <w:r w:rsidR="006A5A3C" w:rsidRPr="002F54D0">
        <w:rPr>
          <w:rFonts w:ascii="Bookman Old Style" w:hAnsi="Bookman Old Style"/>
        </w:rPr>
        <w:t>assunzionale</w:t>
      </w:r>
      <w:proofErr w:type="spellEnd"/>
      <w:r w:rsidR="006A5A3C" w:rsidRPr="002F54D0">
        <w:rPr>
          <w:rFonts w:ascii="Bookman Old Style" w:hAnsi="Bookman Old Style"/>
        </w:rPr>
        <w:t xml:space="preserve">, mentre le mobilità in entrata saranno effettuate a valere sulla capacità </w:t>
      </w:r>
      <w:proofErr w:type="spellStart"/>
      <w:r w:rsidR="006A5A3C" w:rsidRPr="002F54D0">
        <w:rPr>
          <w:rFonts w:ascii="Bookman Old Style" w:hAnsi="Bookman Old Style"/>
        </w:rPr>
        <w:t>assunzionale</w:t>
      </w:r>
      <w:proofErr w:type="spellEnd"/>
      <w:r w:rsidR="006A5A3C" w:rsidRPr="002F54D0">
        <w:rPr>
          <w:rFonts w:ascii="Bookman Old Style" w:hAnsi="Bookman Old Style"/>
        </w:rPr>
        <w:t>.</w:t>
      </w:r>
    </w:p>
    <w:p w14:paraId="7095080B" w14:textId="7C7507C4" w:rsidR="007C10F1" w:rsidRPr="002F54D0" w:rsidRDefault="007C10F1" w:rsidP="007F26B4">
      <w:pPr>
        <w:pStyle w:val="Titolo1"/>
        <w:rPr>
          <w:rFonts w:ascii="Bookman Old Style" w:hAnsi="Bookman Old Style"/>
          <w:b/>
          <w:bCs/>
          <w:sz w:val="22"/>
          <w:szCs w:val="22"/>
        </w:rPr>
      </w:pPr>
      <w:bookmarkStart w:id="4" w:name="_Toc185431842"/>
      <w:r w:rsidRPr="002F54D0">
        <w:rPr>
          <w:rFonts w:ascii="Bookman Old Style" w:hAnsi="Bookman Old Style"/>
          <w:b/>
          <w:bCs/>
          <w:sz w:val="22"/>
          <w:szCs w:val="22"/>
        </w:rPr>
        <w:t>MINORI</w:t>
      </w:r>
      <w:bookmarkEnd w:id="4"/>
    </w:p>
    <w:p w14:paraId="77BBE5D5" w14:textId="77777777" w:rsidR="007C10F1" w:rsidRPr="00C4473E" w:rsidRDefault="007C10F1" w:rsidP="00C4473E">
      <w:pPr>
        <w:pStyle w:val="Titolo2"/>
        <w:numPr>
          <w:ilvl w:val="0"/>
          <w:numId w:val="5"/>
        </w:numPr>
        <w:rPr>
          <w:rFonts w:ascii="Bookman Old Style" w:hAnsi="Bookman Old Style"/>
          <w:b/>
          <w:bCs/>
          <w:sz w:val="22"/>
          <w:szCs w:val="22"/>
        </w:rPr>
      </w:pPr>
      <w:bookmarkStart w:id="5" w:name="_Toc185431843"/>
      <w:r w:rsidRPr="00C4473E">
        <w:rPr>
          <w:rFonts w:ascii="Bookman Old Style" w:hAnsi="Bookman Old Style"/>
          <w:b/>
          <w:bCs/>
          <w:sz w:val="22"/>
          <w:szCs w:val="22"/>
        </w:rPr>
        <w:t>Fondo assistenza minori (Art. 101)</w:t>
      </w:r>
      <w:bookmarkEnd w:id="5"/>
    </w:p>
    <w:p w14:paraId="7E6D257F" w14:textId="2004596E" w:rsidR="007C10F1" w:rsidRPr="002F54D0" w:rsidRDefault="007C10F1" w:rsidP="007C10F1">
      <w:pPr>
        <w:spacing w:after="0" w:line="240" w:lineRule="auto"/>
        <w:jc w:val="both"/>
        <w:rPr>
          <w:rFonts w:ascii="Bookman Old Style" w:hAnsi="Bookman Old Style" w:cs="CIDFont+F2"/>
          <w:kern w:val="0"/>
        </w:rPr>
      </w:pPr>
      <w:r w:rsidRPr="002F54D0">
        <w:rPr>
          <w:rFonts w:ascii="Bookman Old Style" w:hAnsi="Bookman Old Style"/>
        </w:rPr>
        <w:t xml:space="preserve">La </w:t>
      </w:r>
      <w:proofErr w:type="spellStart"/>
      <w:r w:rsidRPr="002F54D0">
        <w:rPr>
          <w:rFonts w:ascii="Bookman Old Style" w:hAnsi="Bookman Old Style"/>
        </w:rPr>
        <w:t>norma</w:t>
      </w:r>
      <w:r w:rsidR="00172295">
        <w:rPr>
          <w:rFonts w:ascii="Bookman Old Style" w:hAnsi="Bookman Old Style"/>
        </w:rPr>
        <w:t>,</w:t>
      </w:r>
      <w:r w:rsidR="003A6ABD" w:rsidRPr="002F54D0">
        <w:rPr>
          <w:rFonts w:ascii="Bookman Old Style" w:hAnsi="Bookman Old Style"/>
        </w:rPr>
        <w:t>inerente</w:t>
      </w:r>
      <w:proofErr w:type="spellEnd"/>
      <w:r w:rsidR="003A6ABD" w:rsidRPr="002F54D0">
        <w:rPr>
          <w:rFonts w:ascii="Bookman Old Style" w:hAnsi="Bookman Old Style"/>
        </w:rPr>
        <w:t xml:space="preserve"> il</w:t>
      </w:r>
      <w:r w:rsidRPr="002F54D0">
        <w:rPr>
          <w:rFonts w:ascii="Bookman Old Style" w:hAnsi="Bookman Old Style" w:cs="CIDFont+F2"/>
          <w:kern w:val="0"/>
        </w:rPr>
        <w:t xml:space="preserve"> Fondo per l'assistenza ai minori per i quali sia stato disposto l'allontanamento dalla casa familiare con provvedimento dell'autorità giudiziaria</w:t>
      </w:r>
      <w:r w:rsidR="00164A12" w:rsidRPr="002F54D0">
        <w:rPr>
          <w:rFonts w:ascii="Bookman Old Style" w:hAnsi="Bookman Old Style" w:cs="CIDFont+F2"/>
          <w:kern w:val="0"/>
        </w:rPr>
        <w:t xml:space="preserve"> (100 milioni </w:t>
      </w:r>
      <w:r w:rsidR="000E400D" w:rsidRPr="002F54D0">
        <w:rPr>
          <w:rFonts w:ascii="Bookman Old Style" w:hAnsi="Bookman Old Style" w:cs="CIDFont+F2"/>
          <w:kern w:val="0"/>
        </w:rPr>
        <w:t xml:space="preserve"> annui dal 2025 al 2027)</w:t>
      </w:r>
      <w:r w:rsidR="00476CF7">
        <w:rPr>
          <w:rFonts w:ascii="Bookman Old Style" w:hAnsi="Bookman Old Style" w:cs="CIDFont+F2"/>
          <w:kern w:val="0"/>
        </w:rPr>
        <w:t xml:space="preserve">, </w:t>
      </w:r>
      <w:r w:rsidR="00476CF7" w:rsidRPr="002F54D0">
        <w:rPr>
          <w:rFonts w:ascii="Bookman Old Style" w:hAnsi="Bookman Old Style"/>
        </w:rPr>
        <w:t xml:space="preserve">come modificata in </w:t>
      </w:r>
      <w:r w:rsidR="00476CF7">
        <w:rPr>
          <w:rFonts w:ascii="Bookman Old Style" w:hAnsi="Bookman Old Style"/>
        </w:rPr>
        <w:t>C</w:t>
      </w:r>
      <w:r w:rsidR="00476CF7" w:rsidRPr="002F54D0">
        <w:rPr>
          <w:rFonts w:ascii="Bookman Old Style" w:hAnsi="Bookman Old Style"/>
        </w:rPr>
        <w:t xml:space="preserve">ommissione </w:t>
      </w:r>
      <w:r w:rsidR="00476CF7">
        <w:rPr>
          <w:rFonts w:ascii="Bookman Old Style" w:hAnsi="Bookman Old Style"/>
        </w:rPr>
        <w:t>B</w:t>
      </w:r>
      <w:r w:rsidR="00476CF7" w:rsidRPr="002F54D0">
        <w:rPr>
          <w:rFonts w:ascii="Bookman Old Style" w:hAnsi="Bookman Old Style"/>
        </w:rPr>
        <w:t>ilancio</w:t>
      </w:r>
      <w:r w:rsidR="00476CF7">
        <w:rPr>
          <w:rFonts w:ascii="Bookman Old Style" w:hAnsi="Bookman Old Style"/>
        </w:rPr>
        <w:t xml:space="preserve">, </w:t>
      </w:r>
      <w:proofErr w:type="spellStart"/>
      <w:r w:rsidR="00215ECD">
        <w:rPr>
          <w:rFonts w:ascii="Bookman Old Style" w:hAnsi="Bookman Old Style"/>
        </w:rPr>
        <w:t>su</w:t>
      </w:r>
      <w:r w:rsidR="007862EA" w:rsidRPr="002F54D0">
        <w:rPr>
          <w:rFonts w:ascii="Bookman Old Style" w:hAnsi="Bookman Old Style" w:cs="CIDFont+F2"/>
          <w:kern w:val="0"/>
        </w:rPr>
        <w:t>stabilisce</w:t>
      </w:r>
      <w:proofErr w:type="spellEnd"/>
      <w:r w:rsidR="007862EA" w:rsidRPr="002F54D0">
        <w:rPr>
          <w:rFonts w:ascii="Bookman Old Style" w:hAnsi="Bookman Old Style" w:cs="CIDFont+F2"/>
          <w:kern w:val="0"/>
        </w:rPr>
        <w:t xml:space="preserve"> che t</w:t>
      </w:r>
      <w:r w:rsidRPr="002F54D0">
        <w:rPr>
          <w:rFonts w:ascii="Bookman Old Style" w:hAnsi="Bookman Old Style" w:cs="CIDFont+F2"/>
          <w:kern w:val="0"/>
        </w:rPr>
        <w:t xml:space="preserve">ali risorse sono destinate ai Comuni che hanno un rapporto </w:t>
      </w:r>
      <w:r w:rsidR="00476CF7" w:rsidRPr="002F54D0">
        <w:rPr>
          <w:rFonts w:ascii="Bookman Old Style" w:hAnsi="Bookman Old Style" w:cs="CIDFont+F2"/>
          <w:kern w:val="0"/>
        </w:rPr>
        <w:t>superiore al 3%</w:t>
      </w:r>
      <w:r w:rsidR="00DC178A">
        <w:rPr>
          <w:rFonts w:ascii="Bookman Old Style" w:hAnsi="Bookman Old Style" w:cs="CIDFont+F2"/>
          <w:kern w:val="0"/>
        </w:rPr>
        <w:t xml:space="preserve"> ( in luogo del 10%)</w:t>
      </w:r>
      <w:r w:rsidR="00476CF7">
        <w:rPr>
          <w:rFonts w:ascii="Bookman Old Style" w:hAnsi="Bookman Old Style" w:cs="CIDFont+F2"/>
          <w:kern w:val="0"/>
        </w:rPr>
        <w:t xml:space="preserve"> </w:t>
      </w:r>
      <w:r w:rsidRPr="002F54D0">
        <w:rPr>
          <w:rFonts w:ascii="Bookman Old Style" w:hAnsi="Bookman Old Style" w:cs="CIDFont+F2"/>
          <w:kern w:val="0"/>
        </w:rPr>
        <w:t>tra le spese sostenute per provvedere all'attuazione dei provvedimenti del giudice minorile e il fabbisogno standard monetario per la funzione sociale.</w:t>
      </w:r>
      <w:r w:rsidR="00476CF7">
        <w:rPr>
          <w:rFonts w:ascii="Bookman Old Style" w:hAnsi="Bookman Old Style" w:cs="CIDFont+F2"/>
          <w:kern w:val="0"/>
        </w:rPr>
        <w:t xml:space="preserve"> È inoltre abolito il riferimento ai provvedimenti del giudice minorile “intervenuti nell’anno precedente”, evitando così le distorsioni nella rilevazione della spesa dovute ai frequenti provvedimenti con efficacia pluriennale.</w:t>
      </w:r>
      <w:r w:rsidR="00FF430D">
        <w:rPr>
          <w:rFonts w:ascii="Bookman Old Style" w:hAnsi="Bookman Old Style" w:cs="CIDFont+F2"/>
          <w:kern w:val="0"/>
        </w:rPr>
        <w:t xml:space="preserve"> </w:t>
      </w:r>
    </w:p>
    <w:p w14:paraId="2685F7AB" w14:textId="77777777" w:rsidR="007C10F1" w:rsidRPr="00C4473E" w:rsidRDefault="007C10F1" w:rsidP="00C4473E">
      <w:pPr>
        <w:pStyle w:val="Titolo2"/>
        <w:numPr>
          <w:ilvl w:val="0"/>
          <w:numId w:val="6"/>
        </w:numPr>
        <w:rPr>
          <w:rFonts w:ascii="Bookman Old Style" w:hAnsi="Bookman Old Style"/>
          <w:b/>
          <w:bCs/>
          <w:sz w:val="22"/>
          <w:szCs w:val="22"/>
        </w:rPr>
      </w:pPr>
      <w:bookmarkStart w:id="6" w:name="_Toc185431844"/>
      <w:r w:rsidRPr="00C4473E">
        <w:rPr>
          <w:rFonts w:ascii="Bookman Old Style" w:hAnsi="Bookman Old Style"/>
          <w:b/>
          <w:bCs/>
          <w:sz w:val="22"/>
          <w:szCs w:val="22"/>
        </w:rPr>
        <w:t>Fondo potenziamento minori rischio devianza (Art. 101 bis)</w:t>
      </w:r>
      <w:bookmarkEnd w:id="6"/>
    </w:p>
    <w:p w14:paraId="7C7B2E4A" w14:textId="25606319" w:rsidR="007C10F1" w:rsidRPr="002F54D0" w:rsidRDefault="007C10F1" w:rsidP="007C10F1">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La norma</w:t>
      </w:r>
      <w:r w:rsidR="006D3C55" w:rsidRPr="002F54D0">
        <w:rPr>
          <w:rFonts w:ascii="Bookman Old Style" w:hAnsi="Bookman Old Style" w:cs="CIDFont+F2"/>
          <w:kern w:val="0"/>
        </w:rPr>
        <w:t xml:space="preserve">, </w:t>
      </w:r>
      <w:r w:rsidR="006D3C55" w:rsidRPr="002F54D0">
        <w:rPr>
          <w:rFonts w:ascii="Bookman Old Style" w:hAnsi="Bookman Old Style"/>
        </w:rPr>
        <w:t>approvata in commissione bilancio Camera,</w:t>
      </w:r>
      <w:r w:rsidRPr="002F54D0">
        <w:rPr>
          <w:rFonts w:ascii="Bookman Old Style" w:hAnsi="Bookman Old Style" w:cs="CIDFont+F2"/>
          <w:kern w:val="0"/>
        </w:rPr>
        <w:t xml:space="preserve"> prevede l'istituzione di un fondo per potenziare le attività a favore dei minori coinvolti in percorsi di rieducazione, con una dotazione di 0,5 milioni di euro per il 2025, 1 milione per il 2026 e 2 milioni per il 2027. Con decreto del Ministero dell’Interno, da adottare previo parere della Conferenza Stato Città, verranno definite le modalità di </w:t>
      </w:r>
      <w:r w:rsidR="00476CF7">
        <w:rPr>
          <w:rFonts w:ascii="Bookman Old Style" w:hAnsi="Bookman Old Style" w:cs="CIDFont+F2"/>
          <w:kern w:val="0"/>
        </w:rPr>
        <w:t>utilizzo del fondo</w:t>
      </w:r>
      <w:r w:rsidRPr="002F54D0">
        <w:rPr>
          <w:rFonts w:ascii="Bookman Old Style" w:hAnsi="Bookman Old Style" w:cs="CIDFont+F2"/>
          <w:kern w:val="0"/>
        </w:rPr>
        <w:t>.</w:t>
      </w:r>
    </w:p>
    <w:p w14:paraId="19611B59" w14:textId="77777777" w:rsidR="007C10F1" w:rsidRPr="002F54D0" w:rsidRDefault="007C10F1" w:rsidP="007C10F1">
      <w:pPr>
        <w:rPr>
          <w:rFonts w:ascii="Bookman Old Style" w:hAnsi="Bookman Old Style"/>
        </w:rPr>
      </w:pPr>
    </w:p>
    <w:p w14:paraId="6DE2B09A" w14:textId="77777777" w:rsidR="00B469EC" w:rsidRPr="002F54D0" w:rsidRDefault="00B469EC" w:rsidP="00B469EC">
      <w:pPr>
        <w:pStyle w:val="Titolo1"/>
        <w:rPr>
          <w:rFonts w:ascii="Bookman Old Style" w:hAnsi="Bookman Old Style"/>
          <w:b/>
          <w:bCs/>
          <w:sz w:val="22"/>
          <w:szCs w:val="22"/>
        </w:rPr>
      </w:pPr>
      <w:bookmarkStart w:id="7" w:name="_Toc185431845"/>
      <w:r w:rsidRPr="002F54D0">
        <w:rPr>
          <w:rFonts w:ascii="Bookman Old Style" w:hAnsi="Bookman Old Style"/>
          <w:b/>
          <w:bCs/>
          <w:sz w:val="22"/>
          <w:szCs w:val="22"/>
        </w:rPr>
        <w:t>FINANZA LOCALE</w:t>
      </w:r>
      <w:bookmarkEnd w:id="7"/>
    </w:p>
    <w:p w14:paraId="2C9DFFF4" w14:textId="77777777" w:rsidR="00B469EC" w:rsidRPr="00C4473E" w:rsidRDefault="00B469EC" w:rsidP="00C4473E">
      <w:pPr>
        <w:pStyle w:val="Titolo2"/>
        <w:numPr>
          <w:ilvl w:val="0"/>
          <w:numId w:val="7"/>
        </w:numPr>
        <w:rPr>
          <w:rFonts w:ascii="Bookman Old Style" w:hAnsi="Bookman Old Style"/>
          <w:b/>
          <w:bCs/>
          <w:sz w:val="22"/>
          <w:szCs w:val="22"/>
        </w:rPr>
      </w:pPr>
      <w:bookmarkStart w:id="8" w:name="_Toc185431846"/>
      <w:r w:rsidRPr="00C4473E">
        <w:rPr>
          <w:rFonts w:ascii="Bookman Old Style" w:hAnsi="Bookman Old Style"/>
          <w:b/>
          <w:bCs/>
          <w:sz w:val="22"/>
          <w:szCs w:val="22"/>
        </w:rPr>
        <w:t>Recupero tributario dei Comuni (Art. 102 bis)</w:t>
      </w:r>
      <w:bookmarkEnd w:id="8"/>
    </w:p>
    <w:p w14:paraId="4470FECB" w14:textId="03EF19AA" w:rsidR="00B469EC" w:rsidRPr="002F54D0" w:rsidRDefault="00B469EC" w:rsidP="00B469EC">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approvata in commissione bilancio Camera, </w:t>
      </w:r>
      <w:r w:rsidR="00476CF7">
        <w:rPr>
          <w:rFonts w:ascii="Bookman Old Style" w:hAnsi="Bookman Old Style" w:cs="CIDFont+F2"/>
          <w:kern w:val="0"/>
        </w:rPr>
        <w:t>introduce nella disci</w:t>
      </w:r>
      <w:r w:rsidR="00284765">
        <w:rPr>
          <w:rFonts w:ascii="Bookman Old Style" w:hAnsi="Bookman Old Style" w:cs="CIDFont+F2"/>
          <w:kern w:val="0"/>
        </w:rPr>
        <w:t>pl</w:t>
      </w:r>
      <w:r w:rsidR="00476CF7">
        <w:rPr>
          <w:rFonts w:ascii="Bookman Old Style" w:hAnsi="Bookman Old Style" w:cs="CIDFont+F2"/>
          <w:kern w:val="0"/>
        </w:rPr>
        <w:t>ina degli incentivi delle attività di recupero di entrate</w:t>
      </w:r>
      <w:r w:rsidR="00284765">
        <w:rPr>
          <w:rFonts w:ascii="Bookman Old Style" w:hAnsi="Bookman Old Style" w:cs="CIDFont+F2"/>
          <w:kern w:val="0"/>
        </w:rPr>
        <w:t xml:space="preserve"> (art. 1, co 1090, l 145/2018</w:t>
      </w:r>
      <w:r w:rsidR="00397B0B">
        <w:rPr>
          <w:rFonts w:ascii="Bookman Old Style" w:hAnsi="Bookman Old Style" w:cs="CIDFont+F2"/>
          <w:kern w:val="0"/>
        </w:rPr>
        <w:t>)</w:t>
      </w:r>
      <w:r w:rsidR="00476CF7">
        <w:rPr>
          <w:rFonts w:ascii="Bookman Old Style" w:hAnsi="Bookman Old Style" w:cs="CIDFont+F2"/>
          <w:kern w:val="0"/>
        </w:rPr>
        <w:t xml:space="preserve">, un’esplicita indicazione della nozione di “maggior gettito” derivanti dai recuperi, su cui Comuni devono verificare la congruità delle somme da utilizzare per l’incentivazione. Si </w:t>
      </w:r>
      <w:r w:rsidRPr="002F54D0">
        <w:rPr>
          <w:rFonts w:ascii="Bookman Old Style" w:hAnsi="Bookman Old Style" w:cs="CIDFont+F2"/>
          <w:kern w:val="0"/>
        </w:rPr>
        <w:t xml:space="preserve">dispone che per maggiore gettito accertato e riscosso si </w:t>
      </w:r>
      <w:r w:rsidR="00476CF7">
        <w:rPr>
          <w:rFonts w:ascii="Bookman Old Style" w:hAnsi="Bookman Old Style" w:cs="CIDFont+F2"/>
          <w:kern w:val="0"/>
        </w:rPr>
        <w:t xml:space="preserve">deve intendere </w:t>
      </w:r>
      <w:r w:rsidRPr="002F54D0">
        <w:rPr>
          <w:rFonts w:ascii="Bookman Old Style" w:hAnsi="Bookman Old Style" w:cs="CIDFont+F2"/>
          <w:kern w:val="0"/>
        </w:rPr>
        <w:t>l'ammontare complessivamente incassato a seguito dell'attività di recupero tributario posta in essere dal Comune, nelle varie modalità in cui tale attività può realizzarsi, che genera un aumento di risorse disponibili nel bilancio comunale rispetto all'adempimento spontaneo del contribuente</w:t>
      </w:r>
      <w:r w:rsidR="00476CF7">
        <w:rPr>
          <w:rFonts w:ascii="Bookman Old Style" w:hAnsi="Bookman Old Style" w:cs="CIDFont+F2"/>
          <w:kern w:val="0"/>
        </w:rPr>
        <w:t xml:space="preserve">, cioè </w:t>
      </w:r>
      <w:r w:rsidRPr="002F54D0">
        <w:rPr>
          <w:rFonts w:ascii="Bookman Old Style" w:hAnsi="Bookman Old Style" w:cs="CIDFont+F2"/>
          <w:kern w:val="0"/>
        </w:rPr>
        <w:t xml:space="preserve">il versamento IMU e TARI effettuato dal contribuente alle scadenze di legge e regolamentari, non indotto da azioni dell'amministrazione comunale. </w:t>
      </w:r>
      <w:r w:rsidR="00476CF7">
        <w:rPr>
          <w:rFonts w:ascii="Bookman Old Style" w:hAnsi="Bookman Old Style" w:cs="CIDFont+F2"/>
          <w:kern w:val="0"/>
        </w:rPr>
        <w:t xml:space="preserve">Ai fini del calcolo dell’incentivazione ammissibile devono essere </w:t>
      </w:r>
      <w:r w:rsidRPr="002F54D0">
        <w:rPr>
          <w:rFonts w:ascii="Bookman Old Style" w:hAnsi="Bookman Old Style" w:cs="CIDFont+F2"/>
          <w:kern w:val="0"/>
        </w:rPr>
        <w:t>pertanto computate tutte le entrate effettivamente incassate nell'anno di riferimento, in conto competenza e in conto residui, risultanti dal conto consuntivo approvato, che in assenza dell'attività di recupero tributario comunale non ci sarebbero state.</w:t>
      </w:r>
      <w:r w:rsidR="00476CF7">
        <w:rPr>
          <w:rFonts w:ascii="Bookman Old Style" w:hAnsi="Bookman Old Style" w:cs="CIDFont+F2"/>
          <w:kern w:val="0"/>
        </w:rPr>
        <w:t xml:space="preserve"> Tale chiarimento </w:t>
      </w:r>
      <w:r w:rsidR="00284765">
        <w:rPr>
          <w:rFonts w:ascii="Bookman Old Style" w:hAnsi="Bookman Old Style" w:cs="CIDFont+F2"/>
          <w:kern w:val="0"/>
        </w:rPr>
        <w:t>ha la natura di interpretazione autentica del comma 1090 e permette di superare difformi interpretazioni di alcune sezioni regionali della Corte dei conti.</w:t>
      </w:r>
    </w:p>
    <w:p w14:paraId="7ED52AFB" w14:textId="77777777" w:rsidR="00B469EC" w:rsidRPr="002F54D0" w:rsidRDefault="00B469EC" w:rsidP="00B469EC">
      <w:pPr>
        <w:autoSpaceDE w:val="0"/>
        <w:autoSpaceDN w:val="0"/>
        <w:adjustRightInd w:val="0"/>
        <w:spacing w:after="0" w:line="240" w:lineRule="auto"/>
        <w:jc w:val="both"/>
        <w:rPr>
          <w:rFonts w:ascii="Bookman Old Style" w:hAnsi="Bookman Old Style" w:cs="CIDFont+F2"/>
          <w:kern w:val="0"/>
        </w:rPr>
      </w:pPr>
    </w:p>
    <w:p w14:paraId="52DED891" w14:textId="43305D99" w:rsidR="00B469EC" w:rsidRPr="00A06F13" w:rsidRDefault="00411E21" w:rsidP="00A06F13">
      <w:pPr>
        <w:pStyle w:val="Titolo2"/>
        <w:numPr>
          <w:ilvl w:val="0"/>
          <w:numId w:val="8"/>
        </w:numPr>
        <w:rPr>
          <w:rFonts w:ascii="Bookman Old Style" w:hAnsi="Bookman Old Style"/>
          <w:b/>
          <w:bCs/>
          <w:sz w:val="22"/>
          <w:szCs w:val="22"/>
        </w:rPr>
      </w:pPr>
      <w:bookmarkStart w:id="9" w:name="_Toc185431847"/>
      <w:r w:rsidRPr="00A06F13">
        <w:rPr>
          <w:rFonts w:ascii="Bookman Old Style" w:hAnsi="Bookman Old Style"/>
          <w:b/>
          <w:bCs/>
          <w:sz w:val="22"/>
          <w:szCs w:val="22"/>
        </w:rPr>
        <w:t>Autoriz</w:t>
      </w:r>
      <w:r w:rsidR="0083623B" w:rsidRPr="00A06F13">
        <w:rPr>
          <w:rFonts w:ascii="Bookman Old Style" w:hAnsi="Bookman Old Style"/>
          <w:b/>
          <w:bCs/>
          <w:sz w:val="22"/>
          <w:szCs w:val="22"/>
        </w:rPr>
        <w:t>z</w:t>
      </w:r>
      <w:r w:rsidRPr="00A06F13">
        <w:rPr>
          <w:rFonts w:ascii="Bookman Old Style" w:hAnsi="Bookman Old Style"/>
          <w:b/>
          <w:bCs/>
          <w:sz w:val="22"/>
          <w:szCs w:val="22"/>
        </w:rPr>
        <w:t xml:space="preserve">azione ai Comuni per richiedere il contributo </w:t>
      </w:r>
      <w:r w:rsidR="00B469EC" w:rsidRPr="00A06F13">
        <w:rPr>
          <w:rFonts w:ascii="Bookman Old Style" w:hAnsi="Bookman Old Style"/>
          <w:b/>
          <w:bCs/>
          <w:sz w:val="22"/>
          <w:szCs w:val="22"/>
        </w:rPr>
        <w:t>per il riconoscimento della cittadinanza italiana (Art. 91 bis)</w:t>
      </w:r>
      <w:bookmarkEnd w:id="9"/>
    </w:p>
    <w:p w14:paraId="5893648E" w14:textId="6E9C5835" w:rsidR="00B469EC" w:rsidRPr="002F54D0" w:rsidRDefault="00B469EC" w:rsidP="00B469EC">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approvata in commissione bilancio Camera, introduce disposizioni in materia di riscossione di contributi per il riconoscimento della cittadinanza italiana </w:t>
      </w:r>
      <w:r w:rsidRPr="00B866C8">
        <w:rPr>
          <w:rFonts w:ascii="Bookman Old Style" w:hAnsi="Bookman Old Style" w:cs="CIDFont+F2"/>
          <w:i/>
          <w:iCs/>
          <w:kern w:val="0"/>
        </w:rPr>
        <w:t xml:space="preserve">iure </w:t>
      </w:r>
      <w:proofErr w:type="spellStart"/>
      <w:r w:rsidRPr="00B866C8">
        <w:rPr>
          <w:rFonts w:ascii="Bookman Old Style" w:hAnsi="Bookman Old Style" w:cs="CIDFont+F2"/>
          <w:i/>
          <w:iCs/>
          <w:kern w:val="0"/>
        </w:rPr>
        <w:t>sanguinis</w:t>
      </w:r>
      <w:proofErr w:type="spellEnd"/>
      <w:r w:rsidRPr="002F54D0">
        <w:rPr>
          <w:rFonts w:ascii="Bookman Old Style" w:hAnsi="Bookman Old Style" w:cs="CIDFont+F2"/>
          <w:kern w:val="0"/>
        </w:rPr>
        <w:t xml:space="preserve">. In particolare, prevede che i Comuni possano </w:t>
      </w:r>
      <w:r w:rsidR="00284765">
        <w:rPr>
          <w:rFonts w:ascii="Bookman Old Style" w:hAnsi="Bookman Old Style" w:cs="CIDFont+F2"/>
          <w:kern w:val="0"/>
        </w:rPr>
        <w:t xml:space="preserve">incrementare il </w:t>
      </w:r>
      <w:r w:rsidRPr="002F54D0">
        <w:rPr>
          <w:rFonts w:ascii="Bookman Old Style" w:hAnsi="Bookman Old Style" w:cs="CIDFont+F2"/>
          <w:kern w:val="0"/>
        </w:rPr>
        <w:t xml:space="preserve">contributo amministrativo </w:t>
      </w:r>
      <w:r w:rsidR="00284765">
        <w:rPr>
          <w:rFonts w:ascii="Bookman Old Style" w:hAnsi="Bookman Old Style" w:cs="CIDFont+F2"/>
          <w:kern w:val="0"/>
        </w:rPr>
        <w:t xml:space="preserve">richiesto per il </w:t>
      </w:r>
      <w:r w:rsidR="00284765" w:rsidRPr="002F54D0">
        <w:rPr>
          <w:rFonts w:ascii="Bookman Old Style" w:hAnsi="Bookman Old Style" w:cs="CIDFont+F2"/>
          <w:kern w:val="0"/>
        </w:rPr>
        <w:t xml:space="preserve">riconoscimento della cittadinanza italiana </w:t>
      </w:r>
      <w:r w:rsidR="00284765">
        <w:rPr>
          <w:rFonts w:ascii="Bookman Old Style" w:hAnsi="Bookman Old Style" w:cs="CIDFont+F2"/>
          <w:kern w:val="0"/>
        </w:rPr>
        <w:t xml:space="preserve">fino all’importo di </w:t>
      </w:r>
      <w:r w:rsidRPr="002F54D0">
        <w:rPr>
          <w:rFonts w:ascii="Bookman Old Style" w:hAnsi="Bookman Old Style" w:cs="CIDFont+F2"/>
          <w:kern w:val="0"/>
        </w:rPr>
        <w:t xml:space="preserve">600 euro per ciascun richiedente maggiorenne. </w:t>
      </w:r>
    </w:p>
    <w:p w14:paraId="29856E15" w14:textId="77777777" w:rsidR="00B469EC" w:rsidRPr="002F54D0" w:rsidRDefault="00B469EC" w:rsidP="00B469EC">
      <w:pPr>
        <w:autoSpaceDE w:val="0"/>
        <w:autoSpaceDN w:val="0"/>
        <w:adjustRightInd w:val="0"/>
        <w:spacing w:after="0" w:line="240" w:lineRule="auto"/>
        <w:jc w:val="both"/>
        <w:rPr>
          <w:rFonts w:ascii="Bookman Old Style" w:hAnsi="Bookman Old Style" w:cs="CIDFont+F2"/>
          <w:kern w:val="0"/>
        </w:rPr>
      </w:pPr>
    </w:p>
    <w:p w14:paraId="7EDCF4F1" w14:textId="77777777" w:rsidR="00B469EC" w:rsidRPr="00A06F13" w:rsidRDefault="00B469EC" w:rsidP="00A06F13">
      <w:pPr>
        <w:pStyle w:val="Titolo2"/>
        <w:numPr>
          <w:ilvl w:val="0"/>
          <w:numId w:val="9"/>
        </w:numPr>
        <w:rPr>
          <w:rFonts w:ascii="Bookman Old Style" w:hAnsi="Bookman Old Style"/>
          <w:b/>
          <w:bCs/>
          <w:sz w:val="22"/>
          <w:szCs w:val="22"/>
        </w:rPr>
      </w:pPr>
      <w:bookmarkStart w:id="10" w:name="_Toc185245952"/>
      <w:bookmarkStart w:id="11" w:name="_Toc185431848"/>
      <w:r w:rsidRPr="00A06F13">
        <w:rPr>
          <w:rFonts w:ascii="Bookman Old Style" w:hAnsi="Bookman Old Style"/>
          <w:b/>
          <w:bCs/>
          <w:sz w:val="22"/>
          <w:szCs w:val="22"/>
        </w:rPr>
        <w:t>Addizionale comunale diritti di imbarco</w:t>
      </w:r>
      <w:bookmarkEnd w:id="10"/>
      <w:r w:rsidRPr="00A06F13">
        <w:rPr>
          <w:rFonts w:ascii="Bookman Old Style" w:hAnsi="Bookman Old Style"/>
          <w:b/>
          <w:bCs/>
          <w:sz w:val="22"/>
          <w:szCs w:val="22"/>
        </w:rPr>
        <w:t xml:space="preserve"> (art. 98 bis)</w:t>
      </w:r>
      <w:bookmarkEnd w:id="11"/>
    </w:p>
    <w:p w14:paraId="4B187578" w14:textId="0B75D8BD" w:rsidR="00B469EC" w:rsidRPr="002F54D0" w:rsidRDefault="00B469EC" w:rsidP="00B469EC">
      <w:pPr>
        <w:jc w:val="both"/>
        <w:rPr>
          <w:rFonts w:ascii="Bookman Old Style" w:hAnsi="Bookman Old Style"/>
        </w:rPr>
      </w:pPr>
      <w:r w:rsidRPr="002F54D0">
        <w:rPr>
          <w:rFonts w:ascii="Bookman Old Style" w:hAnsi="Bookman Old Style"/>
        </w:rPr>
        <w:t xml:space="preserve">La norma, proposta dal Governo e approvata in commissione </w:t>
      </w:r>
      <w:r w:rsidR="00284765">
        <w:rPr>
          <w:rFonts w:ascii="Bookman Old Style" w:hAnsi="Bookman Old Style"/>
        </w:rPr>
        <w:t>B</w:t>
      </w:r>
      <w:r w:rsidRPr="002F54D0">
        <w:rPr>
          <w:rFonts w:ascii="Bookman Old Style" w:hAnsi="Bookman Old Style"/>
        </w:rPr>
        <w:t>ilancio Camera, prevede che, a decorrere dal 1° aprile 2025, l'addizionale comunale sui diritti d'imbarco di passeggeri sia incrementata di 0,50 centesimi di euro per passeggero imbarcato su voli verso destinazioni extra-Ue. L'incremento è destinato al Comune o ai Comuni nel cui territorio è situato il sedime aeroportuale</w:t>
      </w:r>
      <w:r w:rsidR="00284765">
        <w:rPr>
          <w:rFonts w:ascii="Bookman Old Style" w:hAnsi="Bookman Old Style"/>
        </w:rPr>
        <w:t xml:space="preserve">, limitatamente agli aeroporti </w:t>
      </w:r>
      <w:r w:rsidRPr="002F54D0">
        <w:rPr>
          <w:rFonts w:ascii="Bookman Old Style" w:hAnsi="Bookman Old Style"/>
        </w:rPr>
        <w:t xml:space="preserve">con volumi di traffico pari o superiori ai 10 milioni di passeggeri annui, con riferimento all'anno solare precedente. Nel caso </w:t>
      </w:r>
      <w:r w:rsidR="00284765">
        <w:rPr>
          <w:rFonts w:ascii="Bookman Old Style" w:hAnsi="Bookman Old Style"/>
        </w:rPr>
        <w:t>di C</w:t>
      </w:r>
      <w:r w:rsidR="00284765" w:rsidRPr="002F54D0">
        <w:rPr>
          <w:rFonts w:ascii="Bookman Old Style" w:hAnsi="Bookman Old Style"/>
        </w:rPr>
        <w:t xml:space="preserve">omuni </w:t>
      </w:r>
      <w:r w:rsidR="00284765">
        <w:rPr>
          <w:rFonts w:ascii="Bookman Old Style" w:hAnsi="Bookman Old Style"/>
        </w:rPr>
        <w:t xml:space="preserve">beneficiari </w:t>
      </w:r>
      <w:r w:rsidRPr="002F54D0">
        <w:rPr>
          <w:rFonts w:ascii="Bookman Old Style" w:hAnsi="Bookman Old Style"/>
        </w:rPr>
        <w:t>con popolazione inferiore a 15.000 abitanti</w:t>
      </w:r>
      <w:r w:rsidR="00284765">
        <w:rPr>
          <w:rFonts w:ascii="Bookman Old Style" w:hAnsi="Bookman Old Style"/>
        </w:rPr>
        <w:t>,</w:t>
      </w:r>
      <w:r w:rsidRPr="002F54D0">
        <w:rPr>
          <w:rFonts w:ascii="Bookman Old Style" w:hAnsi="Bookman Old Style"/>
        </w:rPr>
        <w:t xml:space="preserve"> il relativo gettito è versato alla Provincia o alla Città metropolitana</w:t>
      </w:r>
      <w:r w:rsidR="00284765">
        <w:rPr>
          <w:rFonts w:ascii="Bookman Old Style" w:hAnsi="Bookman Old Style"/>
        </w:rPr>
        <w:t xml:space="preserve"> di pertinenza</w:t>
      </w:r>
      <w:r w:rsidRPr="002F54D0">
        <w:rPr>
          <w:rFonts w:ascii="Bookman Old Style" w:hAnsi="Bookman Old Style"/>
        </w:rPr>
        <w:t>. Nel caso in cui lo scalo aeroportuale insista sul territorio di più Comuni, le somme derivanti dall'incremento dell'addizionale comunale sono ripartite tra i medesimi Comuni sulla base della percentuale di superficie di territorio comunale inglobata nel perimetro aeroportuale sul totale del sedime, sulla scorta dei dati catastali.</w:t>
      </w:r>
      <w:r w:rsidR="0083623B" w:rsidRPr="002F54D0">
        <w:rPr>
          <w:rFonts w:ascii="Bookman Old Style" w:hAnsi="Bookman Old Style"/>
        </w:rPr>
        <w:t xml:space="preserve"> </w:t>
      </w:r>
      <w:r w:rsidRPr="002F54D0">
        <w:rPr>
          <w:rFonts w:ascii="Bookman Old Style" w:hAnsi="Bookman Old Style"/>
        </w:rPr>
        <w:t>Con decreto del MIT di concerto con il Ministero dell'interno e del Ministero dell'economia e delle finanze, sentita la Conferenza stato città, da emanare entro il 15 marzo 2025, sono stabilite le modalità di attuazione della norma</w:t>
      </w:r>
      <w:r w:rsidR="00284765">
        <w:rPr>
          <w:rFonts w:ascii="Bookman Old Style" w:hAnsi="Bookman Old Style"/>
        </w:rPr>
        <w:t>.</w:t>
      </w:r>
      <w:r w:rsidRPr="002F54D0">
        <w:rPr>
          <w:rFonts w:ascii="Bookman Old Style" w:hAnsi="Bookman Old Style"/>
        </w:rPr>
        <w:t xml:space="preserve"> </w:t>
      </w:r>
    </w:p>
    <w:p w14:paraId="20C034FF" w14:textId="06CAC86B" w:rsidR="00D000D1" w:rsidRPr="002F54D0" w:rsidRDefault="00D000D1" w:rsidP="007F26B4">
      <w:pPr>
        <w:pStyle w:val="Titolo1"/>
        <w:rPr>
          <w:rFonts w:ascii="Bookman Old Style" w:hAnsi="Bookman Old Style"/>
          <w:b/>
          <w:bCs/>
          <w:sz w:val="22"/>
          <w:szCs w:val="22"/>
        </w:rPr>
      </w:pPr>
      <w:bookmarkStart w:id="12" w:name="_Toc185431849"/>
      <w:r w:rsidRPr="002F54D0">
        <w:rPr>
          <w:rFonts w:ascii="Bookman Old Style" w:hAnsi="Bookman Old Style"/>
          <w:b/>
          <w:bCs/>
          <w:sz w:val="22"/>
          <w:szCs w:val="22"/>
        </w:rPr>
        <w:t>PICCOLI COMUNI</w:t>
      </w:r>
      <w:bookmarkEnd w:id="12"/>
    </w:p>
    <w:p w14:paraId="08BDD04A" w14:textId="77777777" w:rsidR="00D000D1" w:rsidRPr="00A06F13" w:rsidRDefault="00D000D1" w:rsidP="00A06F13">
      <w:pPr>
        <w:pStyle w:val="Titolo2"/>
        <w:numPr>
          <w:ilvl w:val="0"/>
          <w:numId w:val="10"/>
        </w:numPr>
        <w:rPr>
          <w:rFonts w:ascii="Bookman Old Style" w:hAnsi="Bookman Old Style"/>
          <w:b/>
          <w:bCs/>
          <w:sz w:val="22"/>
          <w:szCs w:val="22"/>
        </w:rPr>
      </w:pPr>
      <w:bookmarkStart w:id="13" w:name="_Toc185431850"/>
      <w:r w:rsidRPr="00A06F13">
        <w:rPr>
          <w:rFonts w:ascii="Bookman Old Style" w:hAnsi="Bookman Old Style"/>
          <w:b/>
          <w:bCs/>
          <w:sz w:val="22"/>
          <w:szCs w:val="22"/>
        </w:rPr>
        <w:t>Sostegno economico Comuni in dissesto sotto ai 1000 abitanti (Art. 102 bis)</w:t>
      </w:r>
      <w:bookmarkEnd w:id="13"/>
    </w:p>
    <w:p w14:paraId="77C42F9D" w14:textId="481055A0" w:rsidR="00336D8F" w:rsidRPr="002F54D0" w:rsidRDefault="00D000D1" w:rsidP="00D000D1">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La norma</w:t>
      </w:r>
      <w:r w:rsidR="0069789F" w:rsidRPr="002F54D0">
        <w:rPr>
          <w:rFonts w:ascii="Bookman Old Style" w:hAnsi="Bookman Old Style" w:cs="CIDFont+F2"/>
          <w:kern w:val="0"/>
        </w:rPr>
        <w:t>, approvata in commissione bilancio</w:t>
      </w:r>
      <w:r w:rsidR="002179CC" w:rsidRPr="002F54D0">
        <w:rPr>
          <w:rFonts w:ascii="Bookman Old Style" w:hAnsi="Bookman Old Style" w:cs="CIDFont+F2"/>
          <w:kern w:val="0"/>
        </w:rPr>
        <w:t xml:space="preserve"> Camera,</w:t>
      </w:r>
      <w:r w:rsidR="0069789F" w:rsidRPr="002F54D0">
        <w:rPr>
          <w:rFonts w:ascii="Bookman Old Style" w:hAnsi="Bookman Old Style" w:cs="CIDFont+F2"/>
          <w:kern w:val="0"/>
        </w:rPr>
        <w:t xml:space="preserve"> </w:t>
      </w:r>
      <w:r w:rsidRPr="002F54D0">
        <w:rPr>
          <w:rFonts w:ascii="Bookman Old Style" w:hAnsi="Bookman Old Style" w:cs="CIDFont+F2"/>
          <w:kern w:val="0"/>
        </w:rPr>
        <w:t>prevede che ai Comuni con popolazione inferiore a 1.000 abitanti</w:t>
      </w:r>
      <w:r w:rsidR="00D10CAF" w:rsidRPr="002F54D0">
        <w:rPr>
          <w:rFonts w:ascii="Bookman Old Style" w:hAnsi="Bookman Old Style" w:cs="CIDFont+F2"/>
          <w:kern w:val="0"/>
        </w:rPr>
        <w:t xml:space="preserve">, </w:t>
      </w:r>
      <w:r w:rsidR="00336D8F" w:rsidRPr="002F54D0">
        <w:rPr>
          <w:rFonts w:ascii="Bookman Old Style" w:hAnsi="Bookman Old Style" w:cs="CIDFont+F2"/>
          <w:kern w:val="0"/>
        </w:rPr>
        <w:t>è</w:t>
      </w:r>
      <w:r w:rsidR="00D10CAF" w:rsidRPr="002F54D0">
        <w:rPr>
          <w:rFonts w:ascii="Bookman Old Style" w:hAnsi="Bookman Old Style" w:cs="CIDFont+F2"/>
          <w:kern w:val="0"/>
        </w:rPr>
        <w:t xml:space="preserve"> attribuita un'anticipazione fino all'importo massimo annuo di 25 milioni di euro per gli anni 2025 e 2026, da destinare all'incremento della massa attiva della gestione liquidatoria per il pagamento dei debiti ammessi. </w:t>
      </w:r>
    </w:p>
    <w:p w14:paraId="49D6F1A1" w14:textId="77777777" w:rsidR="00A80B11" w:rsidRPr="002F54D0" w:rsidRDefault="00336D8F" w:rsidP="00D000D1">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è destinata </w:t>
      </w:r>
      <w:r w:rsidR="00A80B11" w:rsidRPr="002F54D0">
        <w:rPr>
          <w:rFonts w:ascii="Bookman Old Style" w:hAnsi="Bookman Old Style" w:cs="CIDFont+F2"/>
          <w:kern w:val="0"/>
        </w:rPr>
        <w:t xml:space="preserve">agli enti </w:t>
      </w:r>
      <w:r w:rsidR="00D000D1" w:rsidRPr="002F54D0">
        <w:rPr>
          <w:rFonts w:ascii="Bookman Old Style" w:hAnsi="Bookman Old Style" w:cs="CIDFont+F2"/>
          <w:kern w:val="0"/>
        </w:rPr>
        <w:t>che hanno deliberato il dissesto finanziario a far data dal 1° gennaio 2017 e aderito alla procedura semplificata, per i quali l'Organo straordinario di liquidazione, alla data di entrata in vigore del provvedimento, non ha ancora approvato il rendiconto della gestione.</w:t>
      </w:r>
    </w:p>
    <w:p w14:paraId="2C5D059F" w14:textId="43088E52" w:rsidR="00D000D1" w:rsidRPr="002F54D0" w:rsidRDefault="00A80B11" w:rsidP="00D000D1">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L’an</w:t>
      </w:r>
      <w:r w:rsidR="00D000D1" w:rsidRPr="002F54D0">
        <w:rPr>
          <w:rFonts w:ascii="Bookman Old Style" w:hAnsi="Bookman Old Style" w:cs="CIDFont+F2"/>
          <w:kern w:val="0"/>
        </w:rPr>
        <w:t>ticipazione è ripartita, nei limiti della massa passiva censita, in base ad una quota pro capite determinata tenendo conto della popolazione residente, calcolata alla fine del penultimo anno precedente alla dichiarazione di dissesto, mentre l'importo attribuito è erogato all'ente locale, che è tenuto a metterlo a disposizione</w:t>
      </w:r>
      <w:r w:rsidRPr="002F54D0">
        <w:rPr>
          <w:rFonts w:ascii="Bookman Old Style" w:hAnsi="Bookman Old Style" w:cs="CIDFont+F2"/>
          <w:kern w:val="0"/>
        </w:rPr>
        <w:t xml:space="preserve"> </w:t>
      </w:r>
      <w:r w:rsidR="00D000D1" w:rsidRPr="002F54D0">
        <w:rPr>
          <w:rFonts w:ascii="Bookman Old Style" w:hAnsi="Bookman Old Style" w:cs="CIDFont+F2"/>
          <w:kern w:val="0"/>
        </w:rPr>
        <w:t>dell'Organo straordinario di liquidazione entro trenta giorni. L'organo straordinario di liquidazione provvede al pagamento dei debiti ammessi, nei limiti dell'anticipazione erogata, entro novanta giorni dalla disponibilità delle risorse.</w:t>
      </w:r>
    </w:p>
    <w:p w14:paraId="07AD7E4E" w14:textId="3A48BA74" w:rsidR="00D000D1" w:rsidRPr="002F54D0" w:rsidRDefault="002179CC" w:rsidP="00D000D1">
      <w:pPr>
        <w:autoSpaceDE w:val="0"/>
        <w:autoSpaceDN w:val="0"/>
        <w:adjustRightInd w:val="0"/>
        <w:spacing w:after="0" w:line="240" w:lineRule="auto"/>
        <w:jc w:val="both"/>
        <w:rPr>
          <w:rFonts w:ascii="Bookman Old Style" w:hAnsi="Bookman Old Style"/>
        </w:rPr>
      </w:pPr>
      <w:r w:rsidRPr="002F54D0">
        <w:rPr>
          <w:rFonts w:ascii="Bookman Old Style" w:hAnsi="Bookman Old Style" w:cs="CIDFont+F2"/>
          <w:kern w:val="0"/>
        </w:rPr>
        <w:t>La norma p</w:t>
      </w:r>
      <w:r w:rsidR="00D000D1" w:rsidRPr="002F54D0">
        <w:rPr>
          <w:rFonts w:ascii="Bookman Old Style" w:hAnsi="Bookman Old Style" w:cs="CIDFont+F2"/>
          <w:kern w:val="0"/>
        </w:rPr>
        <w:t xml:space="preserve">revede inoltre che la restituzione dell'anticipazione è effettuata, con piano di ammortamento a rate costanti, comprensive degli interessi, in un periodo massimo di dieci anni a decorrere dall'anno successivo a quello </w:t>
      </w:r>
      <w:r w:rsidR="00284765">
        <w:rPr>
          <w:rFonts w:ascii="Bookman Old Style" w:hAnsi="Bookman Old Style" w:cs="CIDFont+F2"/>
          <w:kern w:val="0"/>
        </w:rPr>
        <w:t>di erogazione</w:t>
      </w:r>
      <w:r w:rsidR="00D000D1" w:rsidRPr="002F54D0">
        <w:rPr>
          <w:rFonts w:ascii="Bookman Old Style" w:hAnsi="Bookman Old Style" w:cs="CIDFont+F2"/>
          <w:kern w:val="0"/>
        </w:rPr>
        <w:t>, mediante operazione di giro fondi sull'apposita contabilità speciale intestata al Ministero dell'interno. Il tasso di interesse da applicare alle suddette anticipazioni sarà determinato sulla base del rendimento di mercato dei Buoni poliennali del tesoro a cinque anni in corso di emissione con comunicato del Direttore generale del tesoro da pubblicare nel sito internet del Ministero dell'economia e delle finanze. Infine, in caso di mancata restituzione delle rate entro i termini previsti, le somme sono recuperate a valere sulle risorse a qualunque titolo dovute dal Ministero dell'interno, con relativo versamento sulla contabilità speciale.</w:t>
      </w:r>
    </w:p>
    <w:p w14:paraId="1149D714" w14:textId="77777777" w:rsidR="00AE7348" w:rsidRPr="00A06F13" w:rsidRDefault="00AE7348" w:rsidP="00A06F13">
      <w:pPr>
        <w:pStyle w:val="Titolo2"/>
        <w:numPr>
          <w:ilvl w:val="0"/>
          <w:numId w:val="11"/>
        </w:numPr>
        <w:jc w:val="both"/>
        <w:rPr>
          <w:rFonts w:ascii="Bookman Old Style" w:hAnsi="Bookman Old Style"/>
          <w:b/>
          <w:bCs/>
          <w:sz w:val="22"/>
          <w:szCs w:val="22"/>
        </w:rPr>
      </w:pPr>
      <w:bookmarkStart w:id="14" w:name="_Toc185245943"/>
      <w:bookmarkStart w:id="15" w:name="_Toc185431851"/>
      <w:r w:rsidRPr="00A06F13">
        <w:rPr>
          <w:rFonts w:ascii="Bookman Old Style" w:hAnsi="Bookman Old Style"/>
          <w:b/>
          <w:bCs/>
          <w:sz w:val="22"/>
          <w:szCs w:val="22"/>
        </w:rPr>
        <w:t>Fondo straordinario per il rafforzamento dei servizi sociali Comuni fino a 3000 abitanti</w:t>
      </w:r>
      <w:bookmarkEnd w:id="14"/>
      <w:r w:rsidRPr="00A06F13">
        <w:rPr>
          <w:rFonts w:ascii="Bookman Old Style" w:hAnsi="Bookman Old Style"/>
          <w:b/>
          <w:bCs/>
          <w:sz w:val="22"/>
          <w:szCs w:val="22"/>
        </w:rPr>
        <w:t xml:space="preserve"> (art. 101 bis)</w:t>
      </w:r>
      <w:bookmarkEnd w:id="15"/>
    </w:p>
    <w:p w14:paraId="58CCD5E8" w14:textId="1325C5BE"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 xml:space="preserve">La norma, proposta dai relatori e approvata in commissione </w:t>
      </w:r>
      <w:r w:rsidR="00397B0B">
        <w:rPr>
          <w:rFonts w:ascii="Bookman Old Style" w:hAnsi="Bookman Old Style"/>
        </w:rPr>
        <w:t>B</w:t>
      </w:r>
      <w:r w:rsidR="00397B0B" w:rsidRPr="002F54D0">
        <w:rPr>
          <w:rFonts w:ascii="Bookman Old Style" w:hAnsi="Bookman Old Style"/>
        </w:rPr>
        <w:t xml:space="preserve">ilancio </w:t>
      </w:r>
      <w:r w:rsidRPr="002F54D0">
        <w:rPr>
          <w:rFonts w:ascii="Bookman Old Style" w:hAnsi="Bookman Old Style"/>
        </w:rPr>
        <w:t>Camera, istituisce nello stato di previsione del Ministero dell'interno, un fondo di 5 milioni euro per ciascuno degli anni 2025 e 2026 al fine di rafforzare, in via straordinaria e temporanea, l'offerta di servizi sociali da parte dei piccoli Comuni in difficoltà finanziaria.</w:t>
      </w:r>
    </w:p>
    <w:p w14:paraId="45371599" w14:textId="2B1FB615"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 xml:space="preserve">I contributi sono destinati ai Comuni che soddisfano </w:t>
      </w:r>
      <w:r w:rsidR="00397B0B">
        <w:rPr>
          <w:rFonts w:ascii="Bookman Old Style" w:hAnsi="Bookman Old Style"/>
        </w:rPr>
        <w:t xml:space="preserve">tutti </w:t>
      </w:r>
      <w:r w:rsidRPr="002F54D0">
        <w:rPr>
          <w:rFonts w:ascii="Bookman Old Style" w:hAnsi="Bookman Old Style"/>
        </w:rPr>
        <w:t>i seguenti requisiti:</w:t>
      </w:r>
    </w:p>
    <w:p w14:paraId="6D447322" w14:textId="77777777"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a) popolazione residente, come risultante dai dati ISTAT relativi al penultimo anno precedente, non superiore a 3.000 abitanti;</w:t>
      </w:r>
    </w:p>
    <w:p w14:paraId="7601D669" w14:textId="77777777"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b) variazione percentuale negativa della popolazione residente nell'anno 2023 superiore al 5 per cento del dato relativo alla popolazione residente risultante nell'anno 2011;</w:t>
      </w:r>
    </w:p>
    <w:p w14:paraId="3F8B6C1C" w14:textId="7A9915F9"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 xml:space="preserve">e) classificazione </w:t>
      </w:r>
      <w:r w:rsidR="00397B0B">
        <w:rPr>
          <w:rFonts w:ascii="Bookman Old Style" w:hAnsi="Bookman Old Style"/>
        </w:rPr>
        <w:t>di</w:t>
      </w:r>
      <w:r w:rsidR="00397B0B" w:rsidRPr="002F54D0">
        <w:rPr>
          <w:rFonts w:ascii="Bookman Old Style" w:hAnsi="Bookman Old Style"/>
        </w:rPr>
        <w:t xml:space="preserve"> </w:t>
      </w:r>
      <w:r w:rsidRPr="002F54D0">
        <w:rPr>
          <w:rFonts w:ascii="Bookman Old Style" w:hAnsi="Bookman Old Style"/>
        </w:rPr>
        <w:t>Comune totalmente montano, ai sensi dell'articolo 1, della legge 25 luglio 1952, n. 991;</w:t>
      </w:r>
    </w:p>
    <w:p w14:paraId="62BF52A6" w14:textId="77777777"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d) in stato di dissesto o in procedura di riequilibrio finanziario pluriennale, ai sensi degli articoli 244 e 243 bis del decreto legislativo 18 agosto 2000, n. 267.</w:t>
      </w:r>
    </w:p>
    <w:p w14:paraId="60D29A65" w14:textId="77777777" w:rsidR="00AE7348" w:rsidRPr="002F54D0" w:rsidRDefault="00AE7348" w:rsidP="00AE7348">
      <w:pPr>
        <w:spacing w:after="0" w:line="240" w:lineRule="auto"/>
        <w:jc w:val="both"/>
        <w:rPr>
          <w:rFonts w:ascii="Bookman Old Style" w:hAnsi="Bookman Old Style"/>
        </w:rPr>
      </w:pPr>
      <w:r w:rsidRPr="002F54D0">
        <w:rPr>
          <w:rFonts w:ascii="Bookman Old Style" w:hAnsi="Bookman Old Style"/>
        </w:rPr>
        <w:t>La ripartizione del fondo avviene in maniera proporzionale alle spese risultanti per la Missione 12 nell'ultimo rendiconto approvato dall'ente, con decreto del Ministro dell'interno, di concerto con il Ministro economia e delle finanze, sentita la Conferenza Stato città ed autonomie locali, da adottarsi entro sessanta giorni dalla data di entrata in vigore della presente legge.</w:t>
      </w:r>
    </w:p>
    <w:p w14:paraId="25D32C23" w14:textId="77777777" w:rsidR="00D000D1" w:rsidRPr="002F54D0" w:rsidRDefault="00D000D1" w:rsidP="00D000D1">
      <w:pPr>
        <w:spacing w:after="0" w:line="240" w:lineRule="auto"/>
        <w:rPr>
          <w:rFonts w:ascii="Bookman Old Style" w:hAnsi="Bookman Old Style"/>
        </w:rPr>
      </w:pPr>
    </w:p>
    <w:p w14:paraId="43A67454" w14:textId="2D17E845" w:rsidR="001E095F" w:rsidRPr="002F54D0" w:rsidRDefault="00556854" w:rsidP="001E095F">
      <w:pPr>
        <w:pStyle w:val="Titolo1"/>
        <w:rPr>
          <w:rFonts w:ascii="Bookman Old Style" w:hAnsi="Bookman Old Style"/>
          <w:b/>
          <w:bCs/>
          <w:sz w:val="22"/>
          <w:szCs w:val="22"/>
        </w:rPr>
      </w:pPr>
      <w:bookmarkStart w:id="16" w:name="_Toc185431852"/>
      <w:r w:rsidRPr="002F54D0">
        <w:rPr>
          <w:rFonts w:ascii="Bookman Old Style" w:hAnsi="Bookman Old Style"/>
          <w:b/>
          <w:bCs/>
          <w:sz w:val="22"/>
          <w:szCs w:val="22"/>
        </w:rPr>
        <w:t>RIGENERAZIONE URBANA E OPERE MEDIE</w:t>
      </w:r>
      <w:bookmarkEnd w:id="16"/>
    </w:p>
    <w:p w14:paraId="63C9A270" w14:textId="77777777" w:rsidR="001E095F" w:rsidRPr="00A06F13" w:rsidRDefault="001E095F" w:rsidP="00A06F13">
      <w:pPr>
        <w:pStyle w:val="Titolo2"/>
        <w:numPr>
          <w:ilvl w:val="0"/>
          <w:numId w:val="12"/>
        </w:numPr>
        <w:rPr>
          <w:rFonts w:ascii="Bookman Old Style" w:hAnsi="Bookman Old Style"/>
          <w:b/>
          <w:bCs/>
          <w:sz w:val="22"/>
          <w:szCs w:val="22"/>
        </w:rPr>
      </w:pPr>
      <w:bookmarkStart w:id="17" w:name="_Toc185431853"/>
      <w:bookmarkStart w:id="18" w:name="_Hlk185441272"/>
      <w:r w:rsidRPr="00A06F13">
        <w:rPr>
          <w:rFonts w:ascii="Bookman Old Style" w:hAnsi="Bookman Old Style"/>
          <w:b/>
          <w:bCs/>
          <w:sz w:val="22"/>
          <w:szCs w:val="22"/>
        </w:rPr>
        <w:t>Rigenerazione urbana (Art. 104, comma 21 bis)</w:t>
      </w:r>
      <w:bookmarkEnd w:id="17"/>
    </w:p>
    <w:bookmarkEnd w:id="18"/>
    <w:p w14:paraId="3C143C17" w14:textId="61E78B54" w:rsidR="005B5598" w:rsidRDefault="001E095F" w:rsidP="001E095F">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w:t>
      </w:r>
      <w:r w:rsidRPr="002F54D0">
        <w:rPr>
          <w:rFonts w:ascii="Bookman Old Style" w:hAnsi="Bookman Old Style"/>
        </w:rPr>
        <w:t xml:space="preserve">approvata in commissione </w:t>
      </w:r>
      <w:r w:rsidR="00397B0B">
        <w:rPr>
          <w:rFonts w:ascii="Bookman Old Style" w:hAnsi="Bookman Old Style"/>
        </w:rPr>
        <w:t>B</w:t>
      </w:r>
      <w:r w:rsidRPr="002F54D0">
        <w:rPr>
          <w:rFonts w:ascii="Bookman Old Style" w:hAnsi="Bookman Old Style"/>
        </w:rPr>
        <w:t xml:space="preserve">ilancio Camera, </w:t>
      </w:r>
      <w:r w:rsidR="00D57C39">
        <w:rPr>
          <w:rFonts w:ascii="Bookman Old Style" w:hAnsi="Bookman Old Style"/>
        </w:rPr>
        <w:t>corregge</w:t>
      </w:r>
      <w:r w:rsidR="00612A77">
        <w:rPr>
          <w:rFonts w:ascii="Bookman Old Style" w:hAnsi="Bookman Old Style"/>
        </w:rPr>
        <w:t xml:space="preserve">, come richiesto da Anci, </w:t>
      </w:r>
      <w:r w:rsidRPr="002F54D0">
        <w:rPr>
          <w:rFonts w:ascii="Bookman Old Style" w:hAnsi="Bookman Old Style" w:cs="CIDFont+F2"/>
          <w:kern w:val="0"/>
        </w:rPr>
        <w:t>che non sono soggetti a revoca i contributi riferiti all'anno 2022 dei Comuni per la realizzazione di opere per le quali, alla data del 15 settembre 2024, abbia avuto luogo l'affidamento dei lavori che coincide con la data di pubblicazione del bando, ovvero con la</w:t>
      </w:r>
      <w:r w:rsidR="007636DA" w:rsidRPr="002F54D0">
        <w:rPr>
          <w:rFonts w:ascii="Bookman Old Style" w:hAnsi="Bookman Old Style" w:cs="CIDFont+F2"/>
          <w:kern w:val="0"/>
        </w:rPr>
        <w:t xml:space="preserve"> data di invio della</w:t>
      </w:r>
      <w:r w:rsidRPr="002F54D0">
        <w:rPr>
          <w:rFonts w:ascii="Bookman Old Style" w:hAnsi="Bookman Old Style" w:cs="CIDFont+F2"/>
          <w:kern w:val="0"/>
        </w:rPr>
        <w:t xml:space="preserve"> lettera di invito, in caso di procedura negoziata, ovvero con l'affidamento diretto. </w:t>
      </w:r>
    </w:p>
    <w:p w14:paraId="743BFAC4" w14:textId="38E064FE" w:rsidR="001E095F" w:rsidRPr="002F54D0" w:rsidRDefault="005B5598" w:rsidP="001E095F">
      <w:pPr>
        <w:autoSpaceDE w:val="0"/>
        <w:autoSpaceDN w:val="0"/>
        <w:adjustRightInd w:val="0"/>
        <w:spacing w:after="0" w:line="240" w:lineRule="auto"/>
        <w:jc w:val="both"/>
        <w:rPr>
          <w:rFonts w:ascii="Bookman Old Style" w:hAnsi="Bookman Old Style" w:cs="CIDFont+F2"/>
          <w:kern w:val="0"/>
        </w:rPr>
      </w:pPr>
      <w:r>
        <w:rPr>
          <w:rFonts w:ascii="Bookman Old Style" w:hAnsi="Bookman Old Style" w:cs="CIDFont+F2"/>
          <w:kern w:val="0"/>
        </w:rPr>
        <w:t>Vengono inoltre</w:t>
      </w:r>
      <w:r w:rsidR="00601319">
        <w:rPr>
          <w:rFonts w:ascii="Bookman Old Style" w:hAnsi="Bookman Old Style" w:cs="CIDFont+F2"/>
          <w:kern w:val="0"/>
        </w:rPr>
        <w:t xml:space="preserve">- sempre per </w:t>
      </w:r>
      <w:r w:rsidR="00D30115">
        <w:rPr>
          <w:rFonts w:ascii="Bookman Old Style" w:hAnsi="Bookman Old Style" w:cs="CIDFont+F2"/>
          <w:kern w:val="0"/>
        </w:rPr>
        <w:t xml:space="preserve">finanziamenti di </w:t>
      </w:r>
      <w:r w:rsidR="00601319">
        <w:rPr>
          <w:rFonts w:ascii="Bookman Old Style" w:hAnsi="Bookman Old Style" w:cs="CIDFont+F2"/>
          <w:kern w:val="0"/>
        </w:rPr>
        <w:t xml:space="preserve">investimenti di rigenerazione urbana previsti </w:t>
      </w:r>
      <w:r w:rsidR="00D30115">
        <w:rPr>
          <w:rFonts w:ascii="Bookman Old Style" w:hAnsi="Bookman Old Style" w:cs="CIDFont+F2"/>
          <w:kern w:val="0"/>
        </w:rPr>
        <w:t>dalla legge di bilancio n. 234</w:t>
      </w:r>
      <w:r w:rsidR="00C95397">
        <w:rPr>
          <w:rFonts w:ascii="Bookman Old Style" w:hAnsi="Bookman Old Style" w:cs="CIDFont+F2"/>
          <w:kern w:val="0"/>
        </w:rPr>
        <w:t>/</w:t>
      </w:r>
      <w:r w:rsidR="00D32811">
        <w:rPr>
          <w:rFonts w:ascii="Bookman Old Style" w:hAnsi="Bookman Old Style" w:cs="CIDFont+F2"/>
          <w:kern w:val="0"/>
        </w:rPr>
        <w:t xml:space="preserve">2021 </w:t>
      </w:r>
      <w:r w:rsidR="00DC0D01">
        <w:rPr>
          <w:rFonts w:ascii="Bookman Old Style" w:hAnsi="Bookman Old Style" w:cs="CIDFont+F2"/>
          <w:kern w:val="0"/>
        </w:rPr>
        <w:t xml:space="preserve"> - </w:t>
      </w:r>
      <w:r w:rsidR="009757EB">
        <w:rPr>
          <w:rFonts w:ascii="Bookman Old Style" w:hAnsi="Bookman Old Style" w:cs="CIDFont+F2"/>
          <w:kern w:val="0"/>
        </w:rPr>
        <w:t xml:space="preserve">prorogati i termini per la stipulazione dei contrati al 31 marzo 2025 </w:t>
      </w:r>
      <w:r w:rsidR="00B74217">
        <w:rPr>
          <w:rFonts w:ascii="Bookman Old Style" w:hAnsi="Bookman Old Style" w:cs="CIDFont+F2"/>
          <w:kern w:val="0"/>
        </w:rPr>
        <w:t xml:space="preserve">e l eventuale revoca al 15 maggio 2025. </w:t>
      </w:r>
    </w:p>
    <w:p w14:paraId="5195335C" w14:textId="77777777" w:rsidR="001E095F" w:rsidRDefault="001E095F" w:rsidP="001E095F">
      <w:pPr>
        <w:rPr>
          <w:rFonts w:ascii="Bookman Old Style" w:hAnsi="Bookman Old Style"/>
        </w:rPr>
      </w:pPr>
    </w:p>
    <w:p w14:paraId="5C412633" w14:textId="48E1194B" w:rsidR="00397B0B" w:rsidRDefault="00397B0B" w:rsidP="00397B0B">
      <w:pPr>
        <w:pStyle w:val="Titolo2"/>
        <w:numPr>
          <w:ilvl w:val="0"/>
          <w:numId w:val="12"/>
        </w:numPr>
        <w:rPr>
          <w:rFonts w:ascii="Bookman Old Style" w:hAnsi="Bookman Old Style"/>
          <w:b/>
          <w:bCs/>
          <w:sz w:val="22"/>
          <w:szCs w:val="22"/>
        </w:rPr>
      </w:pPr>
      <w:r>
        <w:rPr>
          <w:rFonts w:ascii="Bookman Old Style" w:hAnsi="Bookman Old Style"/>
          <w:b/>
          <w:bCs/>
          <w:sz w:val="22"/>
          <w:szCs w:val="22"/>
        </w:rPr>
        <w:t>Opere medie</w:t>
      </w:r>
      <w:r w:rsidRPr="00A06F13">
        <w:rPr>
          <w:rFonts w:ascii="Bookman Old Style" w:hAnsi="Bookman Old Style"/>
          <w:b/>
          <w:bCs/>
          <w:sz w:val="22"/>
          <w:szCs w:val="22"/>
        </w:rPr>
        <w:t xml:space="preserve"> </w:t>
      </w:r>
    </w:p>
    <w:p w14:paraId="31281FF4" w14:textId="44E087B1" w:rsidR="00397B0B" w:rsidRPr="00397B0B" w:rsidRDefault="00397B0B" w:rsidP="00397B0B">
      <w:pPr>
        <w:autoSpaceDE w:val="0"/>
        <w:autoSpaceDN w:val="0"/>
        <w:adjustRightInd w:val="0"/>
        <w:spacing w:after="0" w:line="240" w:lineRule="auto"/>
        <w:jc w:val="both"/>
        <w:rPr>
          <w:rFonts w:ascii="Bookman Old Style" w:hAnsi="Bookman Old Style" w:cs="CIDFont+F2"/>
          <w:kern w:val="0"/>
        </w:rPr>
      </w:pPr>
      <w:r w:rsidRPr="00397B0B">
        <w:rPr>
          <w:rFonts w:ascii="Bookman Old Style" w:hAnsi="Bookman Old Style" w:cs="CIDFont+F2"/>
          <w:kern w:val="0"/>
        </w:rPr>
        <w:t>La norma prevede che per le cd</w:t>
      </w:r>
      <w:r>
        <w:rPr>
          <w:rFonts w:ascii="Bookman Old Style" w:hAnsi="Bookman Old Style" w:cs="CIDFont+F2"/>
          <w:kern w:val="0"/>
        </w:rPr>
        <w:t>.</w:t>
      </w:r>
      <w:r w:rsidRPr="00397B0B">
        <w:rPr>
          <w:rFonts w:ascii="Bookman Old Style" w:hAnsi="Bookman Old Style" w:cs="CIDFont+F2"/>
          <w:kern w:val="0"/>
        </w:rPr>
        <w:t xml:space="preserve"> </w:t>
      </w:r>
      <w:r>
        <w:rPr>
          <w:rFonts w:ascii="Bookman Old Style" w:hAnsi="Bookman Old Style" w:cs="CIDFont+F2"/>
          <w:kern w:val="0"/>
        </w:rPr>
        <w:t>“O</w:t>
      </w:r>
      <w:r w:rsidRPr="00397B0B">
        <w:rPr>
          <w:rFonts w:ascii="Bookman Old Style" w:hAnsi="Bookman Old Style" w:cs="CIDFont+F2"/>
          <w:kern w:val="0"/>
        </w:rPr>
        <w:t>pere medie</w:t>
      </w:r>
      <w:r>
        <w:rPr>
          <w:rFonts w:ascii="Bookman Old Style" w:hAnsi="Bookman Old Style" w:cs="CIDFont+F2"/>
          <w:kern w:val="0"/>
        </w:rPr>
        <w:t>”</w:t>
      </w:r>
      <w:r w:rsidRPr="00397B0B">
        <w:rPr>
          <w:rFonts w:ascii="Bookman Old Style" w:hAnsi="Bookman Old Style" w:cs="CIDFont+F2"/>
          <w:kern w:val="0"/>
        </w:rPr>
        <w:t xml:space="preserve"> (art. 1, co. 139 e ss., l. 145/2018)</w:t>
      </w:r>
      <w:r>
        <w:rPr>
          <w:rFonts w:ascii="Bookman Old Style" w:hAnsi="Bookman Old Style" w:cs="CIDFont+F2"/>
          <w:kern w:val="0"/>
        </w:rPr>
        <w:t>, non si proceda a revoca degli interventi oggetto di contributo con il dm Interno 16 luglio 2022 ****</w:t>
      </w:r>
    </w:p>
    <w:p w14:paraId="4180129F" w14:textId="77777777" w:rsidR="00397B0B" w:rsidRPr="002F54D0" w:rsidRDefault="00397B0B" w:rsidP="001E095F">
      <w:pPr>
        <w:rPr>
          <w:rFonts w:ascii="Bookman Old Style" w:hAnsi="Bookman Old Style"/>
        </w:rPr>
      </w:pPr>
    </w:p>
    <w:p w14:paraId="08BA6768" w14:textId="699BF6B6" w:rsidR="00A54737" w:rsidRPr="002F54D0" w:rsidRDefault="00A54737" w:rsidP="00D41FC1">
      <w:pPr>
        <w:pStyle w:val="Titolo1"/>
        <w:rPr>
          <w:rFonts w:ascii="Bookman Old Style" w:hAnsi="Bookman Old Style"/>
          <w:b/>
          <w:bCs/>
          <w:sz w:val="22"/>
          <w:szCs w:val="22"/>
        </w:rPr>
      </w:pPr>
      <w:bookmarkStart w:id="19" w:name="_Toc185431854"/>
      <w:r w:rsidRPr="002F54D0">
        <w:rPr>
          <w:rFonts w:ascii="Bookman Old Style" w:hAnsi="Bookman Old Style"/>
          <w:b/>
          <w:bCs/>
          <w:sz w:val="22"/>
          <w:szCs w:val="22"/>
        </w:rPr>
        <w:t>IN</w:t>
      </w:r>
      <w:r w:rsidR="00A9738A" w:rsidRPr="002F54D0">
        <w:rPr>
          <w:rFonts w:ascii="Bookman Old Style" w:hAnsi="Bookman Old Style"/>
          <w:b/>
          <w:bCs/>
          <w:sz w:val="22"/>
          <w:szCs w:val="22"/>
        </w:rPr>
        <w:t>FRASTRUTTURE E TPL</w:t>
      </w:r>
      <w:bookmarkEnd w:id="19"/>
    </w:p>
    <w:p w14:paraId="237ECF5B" w14:textId="7926C3EC" w:rsidR="00C47F68" w:rsidRPr="00A06F13" w:rsidRDefault="00C47F68" w:rsidP="00A06F13">
      <w:pPr>
        <w:pStyle w:val="Titolo2"/>
        <w:numPr>
          <w:ilvl w:val="0"/>
          <w:numId w:val="13"/>
        </w:numPr>
        <w:jc w:val="both"/>
        <w:rPr>
          <w:rFonts w:ascii="Bookman Old Style" w:hAnsi="Bookman Old Style"/>
          <w:b/>
          <w:bCs/>
          <w:sz w:val="22"/>
          <w:szCs w:val="22"/>
        </w:rPr>
      </w:pPr>
      <w:bookmarkStart w:id="20" w:name="_Toc185431855"/>
      <w:r w:rsidRPr="00A06F13">
        <w:rPr>
          <w:rFonts w:ascii="Bookman Old Style" w:hAnsi="Bookman Old Style"/>
          <w:b/>
          <w:bCs/>
          <w:sz w:val="22"/>
          <w:szCs w:val="22"/>
        </w:rPr>
        <w:t>Incremento finanziamento di interventi in materia di investimenti, infrastrutture e trasporti (80 bis)</w:t>
      </w:r>
      <w:bookmarkEnd w:id="20"/>
    </w:p>
    <w:p w14:paraId="67FCDC96" w14:textId="67F83963" w:rsidR="00C47F68" w:rsidRPr="002F54D0" w:rsidRDefault="00C47F68" w:rsidP="00C47F68">
      <w:pPr>
        <w:jc w:val="both"/>
        <w:rPr>
          <w:rFonts w:ascii="Bookman Old Style" w:hAnsi="Bookman Old Style"/>
        </w:rPr>
      </w:pPr>
      <w:r w:rsidRPr="002F54D0">
        <w:rPr>
          <w:rFonts w:ascii="Bookman Old Style" w:hAnsi="Bookman Old Style"/>
        </w:rPr>
        <w:t xml:space="preserve">La norma, approvata durante l’esame in commissione </w:t>
      </w:r>
      <w:r w:rsidR="00397B0B">
        <w:rPr>
          <w:rFonts w:ascii="Bookman Old Style" w:hAnsi="Bookman Old Style"/>
        </w:rPr>
        <w:t>B</w:t>
      </w:r>
      <w:r w:rsidR="00397B0B" w:rsidRPr="002F54D0">
        <w:rPr>
          <w:rFonts w:ascii="Bookman Old Style" w:hAnsi="Bookman Old Style"/>
        </w:rPr>
        <w:t>ilancio</w:t>
      </w:r>
      <w:r w:rsidRPr="002F54D0">
        <w:rPr>
          <w:rFonts w:ascii="Bookman Old Style" w:hAnsi="Bookman Old Style"/>
        </w:rPr>
        <w:t>, aumenta la dotazione del fondo</w:t>
      </w:r>
      <w:r w:rsidR="00A75BF9" w:rsidRPr="002F54D0">
        <w:rPr>
          <w:rFonts w:ascii="Bookman Old Style" w:hAnsi="Bookman Old Style"/>
        </w:rPr>
        <w:t xml:space="preserve"> p</w:t>
      </w:r>
      <w:r w:rsidRPr="002F54D0">
        <w:rPr>
          <w:rFonts w:ascii="Bookman Old Style" w:hAnsi="Bookman Old Style"/>
        </w:rPr>
        <w:t>er assicurare il finanziamento di interventi urgenti di riqualificazione, ristrutturazione, ammodernamento e ampliamento di strutture e infrastrutture pubbliche, finalizzati al riequilibrio socio-economico e allo sviluppo dei territori</w:t>
      </w:r>
      <w:r w:rsidR="007679B6" w:rsidRPr="002F54D0">
        <w:rPr>
          <w:rFonts w:ascii="Bookman Old Style" w:hAnsi="Bookman Old Style"/>
        </w:rPr>
        <w:t>,</w:t>
      </w:r>
      <w:r w:rsidRPr="002F54D0">
        <w:rPr>
          <w:rFonts w:ascii="Bookman Old Style" w:hAnsi="Bookman Old Style"/>
        </w:rPr>
        <w:t xml:space="preserve"> </w:t>
      </w:r>
      <w:r w:rsidR="00A75BF9" w:rsidRPr="002F54D0">
        <w:rPr>
          <w:rFonts w:ascii="Bookman Old Style" w:hAnsi="Bookman Old Style"/>
        </w:rPr>
        <w:t>previsto nelle legge di bilancio per il 2024</w:t>
      </w:r>
      <w:r w:rsidR="007679B6" w:rsidRPr="002F54D0">
        <w:rPr>
          <w:rFonts w:ascii="Bookman Old Style" w:hAnsi="Bookman Old Style"/>
        </w:rPr>
        <w:t xml:space="preserve">, </w:t>
      </w:r>
      <w:r w:rsidRPr="002F54D0">
        <w:rPr>
          <w:rFonts w:ascii="Bookman Old Style" w:hAnsi="Bookman Old Style"/>
        </w:rPr>
        <w:t>portandola a  17,5 milioni di euro per l'anno 2024 e di 17,5 milioni di euro annui per ciascuno degli anni 2025 e 2026.</w:t>
      </w:r>
    </w:p>
    <w:p w14:paraId="41D99BA6" w14:textId="77777777" w:rsidR="001E095F" w:rsidRPr="00A06F13" w:rsidRDefault="001E095F" w:rsidP="00A06F13">
      <w:pPr>
        <w:pStyle w:val="Titolo2"/>
        <w:numPr>
          <w:ilvl w:val="0"/>
          <w:numId w:val="14"/>
        </w:numPr>
        <w:rPr>
          <w:rFonts w:ascii="Bookman Old Style" w:hAnsi="Bookman Old Style"/>
          <w:b/>
          <w:bCs/>
          <w:sz w:val="22"/>
          <w:szCs w:val="22"/>
          <w:lang w:val="en-US"/>
        </w:rPr>
      </w:pPr>
      <w:bookmarkStart w:id="21" w:name="_Toc185431856"/>
      <w:r w:rsidRPr="00A06F13">
        <w:rPr>
          <w:rFonts w:ascii="Bookman Old Style" w:hAnsi="Bookman Old Style"/>
          <w:b/>
          <w:bCs/>
          <w:sz w:val="22"/>
          <w:szCs w:val="22"/>
          <w:lang w:val="en-US"/>
        </w:rPr>
        <w:t>Rinnovo bus TPL (Art.80 bis)</w:t>
      </w:r>
      <w:bookmarkEnd w:id="21"/>
    </w:p>
    <w:p w14:paraId="5434F67C" w14:textId="77777777" w:rsidR="001E095F" w:rsidRPr="002F54D0" w:rsidRDefault="001E095F" w:rsidP="001E095F">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w:t>
      </w:r>
      <w:r w:rsidRPr="002F54D0">
        <w:rPr>
          <w:rFonts w:ascii="Bookman Old Style" w:hAnsi="Bookman Old Style"/>
        </w:rPr>
        <w:t xml:space="preserve">approvata in commissione bilancio Camera, </w:t>
      </w:r>
      <w:r w:rsidRPr="002F54D0">
        <w:rPr>
          <w:rFonts w:ascii="Bookman Old Style" w:hAnsi="Bookman Old Style" w:cs="CIDFont+F2"/>
          <w:kern w:val="0"/>
        </w:rPr>
        <w:t xml:space="preserve"> al fine di accelerare il rinnovo del parco autobus per i servizi di TPL locale e regionale, prevede che Regioni e Città metropolitane possano utilizzare le risorse già assegnate, per ciascuno degli anni dal 2024 al 2028, nell’ambito del PSNMS anche per il finanziamento di autobus ad uso extraurbano con alimentazione diesel o ibrida ad emissione di gas di scarico della classe più recente. Ciascuna Regione o Città può utilizzare per tale fine una quota non superiore al 25% delle risorse attribuitegli complessivamente per il quinquennio 2024-2028 e, fermo restando questo limite, utilizzare anche le risorse stanziate nel rispettivo programma di investimento per gli investimenti in autobus ad uso extraurbano alimentati a metano.</w:t>
      </w:r>
    </w:p>
    <w:p w14:paraId="0EE0E252" w14:textId="77777777" w:rsidR="001E095F" w:rsidRPr="002F54D0" w:rsidRDefault="001E095F" w:rsidP="001E095F">
      <w:pPr>
        <w:autoSpaceDE w:val="0"/>
        <w:autoSpaceDN w:val="0"/>
        <w:adjustRightInd w:val="0"/>
        <w:spacing w:after="0" w:line="240" w:lineRule="auto"/>
        <w:jc w:val="both"/>
        <w:rPr>
          <w:rFonts w:ascii="Bookman Old Style" w:hAnsi="Bookman Old Style" w:cs="CIDFont+F2"/>
          <w:kern w:val="0"/>
        </w:rPr>
      </w:pPr>
    </w:p>
    <w:p w14:paraId="5236F5E0" w14:textId="5E98BC0B" w:rsidR="00D000D1" w:rsidRPr="002F54D0" w:rsidRDefault="00554C56" w:rsidP="002179CC">
      <w:pPr>
        <w:pStyle w:val="Titolo1"/>
        <w:rPr>
          <w:rFonts w:ascii="Bookman Old Style" w:hAnsi="Bookman Old Style"/>
          <w:b/>
          <w:bCs/>
          <w:sz w:val="22"/>
          <w:szCs w:val="22"/>
        </w:rPr>
      </w:pPr>
      <w:bookmarkStart w:id="22" w:name="_Toc185431857"/>
      <w:r w:rsidRPr="002F54D0">
        <w:rPr>
          <w:rFonts w:ascii="Bookman Old Style" w:hAnsi="Bookman Old Style"/>
          <w:b/>
          <w:bCs/>
          <w:sz w:val="22"/>
          <w:szCs w:val="22"/>
        </w:rPr>
        <w:t>FONDI</w:t>
      </w:r>
      <w:bookmarkEnd w:id="22"/>
      <w:r w:rsidR="00A06F13">
        <w:rPr>
          <w:rFonts w:ascii="Bookman Old Style" w:hAnsi="Bookman Old Style"/>
          <w:b/>
          <w:bCs/>
          <w:sz w:val="22"/>
          <w:szCs w:val="22"/>
        </w:rPr>
        <w:t xml:space="preserve"> </w:t>
      </w:r>
    </w:p>
    <w:p w14:paraId="288840C9" w14:textId="44DAE77E" w:rsidR="003975C9" w:rsidRPr="00A06F13" w:rsidRDefault="003975C9" w:rsidP="00A06F13">
      <w:pPr>
        <w:pStyle w:val="Titolo2"/>
        <w:numPr>
          <w:ilvl w:val="0"/>
          <w:numId w:val="15"/>
        </w:numPr>
        <w:rPr>
          <w:rFonts w:ascii="Bookman Old Style" w:hAnsi="Bookman Old Style"/>
          <w:b/>
          <w:bCs/>
          <w:sz w:val="22"/>
          <w:szCs w:val="22"/>
        </w:rPr>
      </w:pPr>
      <w:bookmarkStart w:id="23" w:name="_Toc185431858"/>
      <w:r w:rsidRPr="00A06F13">
        <w:rPr>
          <w:rFonts w:ascii="Bookman Old Style" w:hAnsi="Bookman Old Style"/>
          <w:b/>
          <w:bCs/>
          <w:sz w:val="22"/>
          <w:szCs w:val="22"/>
        </w:rPr>
        <w:t xml:space="preserve">Fondo destinato ai </w:t>
      </w:r>
      <w:r w:rsidR="005643E0" w:rsidRPr="00A06F13">
        <w:rPr>
          <w:rFonts w:ascii="Bookman Old Style" w:hAnsi="Bookman Old Style"/>
          <w:b/>
          <w:bCs/>
          <w:sz w:val="22"/>
          <w:szCs w:val="22"/>
        </w:rPr>
        <w:t>C</w:t>
      </w:r>
      <w:r w:rsidRPr="00A06F13">
        <w:rPr>
          <w:rFonts w:ascii="Bookman Old Style" w:hAnsi="Bookman Old Style"/>
          <w:b/>
          <w:bCs/>
          <w:sz w:val="22"/>
          <w:szCs w:val="22"/>
        </w:rPr>
        <w:t>omuni per il contrasto povertà alimentare a scuola (</w:t>
      </w:r>
      <w:r w:rsidR="00C31AE0" w:rsidRPr="00A06F13">
        <w:rPr>
          <w:rFonts w:ascii="Bookman Old Style" w:hAnsi="Bookman Old Style"/>
          <w:b/>
          <w:bCs/>
          <w:sz w:val="22"/>
          <w:szCs w:val="22"/>
        </w:rPr>
        <w:t>A</w:t>
      </w:r>
      <w:r w:rsidRPr="00A06F13">
        <w:rPr>
          <w:rFonts w:ascii="Bookman Old Style" w:hAnsi="Bookman Old Style"/>
          <w:b/>
          <w:bCs/>
          <w:sz w:val="22"/>
          <w:szCs w:val="22"/>
        </w:rPr>
        <w:t>rt. 16</w:t>
      </w:r>
      <w:r w:rsidR="00A639BE" w:rsidRPr="00A06F13">
        <w:rPr>
          <w:rFonts w:ascii="Bookman Old Style" w:hAnsi="Bookman Old Style"/>
          <w:b/>
          <w:bCs/>
          <w:sz w:val="22"/>
          <w:szCs w:val="22"/>
        </w:rPr>
        <w:t>, comma 3 bis</w:t>
      </w:r>
      <w:r w:rsidRPr="00A06F13">
        <w:rPr>
          <w:rFonts w:ascii="Bookman Old Style" w:hAnsi="Bookman Old Style"/>
          <w:b/>
          <w:bCs/>
          <w:sz w:val="22"/>
          <w:szCs w:val="22"/>
        </w:rPr>
        <w:t>)</w:t>
      </w:r>
      <w:bookmarkEnd w:id="23"/>
    </w:p>
    <w:p w14:paraId="0315ABD3" w14:textId="450E8236" w:rsidR="000329B4" w:rsidRPr="002F54D0" w:rsidRDefault="003975C9" w:rsidP="00BC64E9">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La norma</w:t>
      </w:r>
      <w:r w:rsidR="006D3C55" w:rsidRPr="002F54D0">
        <w:rPr>
          <w:rFonts w:ascii="Bookman Old Style" w:hAnsi="Bookman Old Style" w:cs="CIDFont+F2"/>
          <w:kern w:val="0"/>
        </w:rPr>
        <w:t xml:space="preserve">, </w:t>
      </w:r>
      <w:r w:rsidR="006D3C55" w:rsidRPr="002F54D0">
        <w:rPr>
          <w:rFonts w:ascii="Bookman Old Style" w:hAnsi="Bookman Old Style"/>
        </w:rPr>
        <w:t>approvata in commissione bilancio Camera,</w:t>
      </w:r>
      <w:r w:rsidRPr="002F54D0">
        <w:rPr>
          <w:rFonts w:ascii="Bookman Old Style" w:hAnsi="Bookman Old Style" w:cs="CIDFont+F2"/>
          <w:kern w:val="0"/>
        </w:rPr>
        <w:t xml:space="preserve"> istituisce </w:t>
      </w:r>
      <w:r w:rsidR="009C4409" w:rsidRPr="002F54D0">
        <w:rPr>
          <w:rFonts w:ascii="Bookman Old Style" w:hAnsi="Bookman Old Style" w:cs="CIDFont+F2"/>
          <w:kern w:val="0"/>
        </w:rPr>
        <w:t xml:space="preserve">un </w:t>
      </w:r>
      <w:r w:rsidRPr="002F54D0">
        <w:rPr>
          <w:rFonts w:ascii="Bookman Old Style" w:hAnsi="Bookman Old Style" w:cs="CIDFont+F2"/>
          <w:kern w:val="0"/>
        </w:rPr>
        <w:t xml:space="preserve">fondo </w:t>
      </w:r>
      <w:r w:rsidR="009C4409" w:rsidRPr="002F54D0">
        <w:rPr>
          <w:rFonts w:ascii="Bookman Old Style" w:hAnsi="Bookman Old Style" w:cs="CIDFont+F2"/>
          <w:kern w:val="0"/>
        </w:rPr>
        <w:t xml:space="preserve">con una dotazione di 0,5 milioni di euro per ciascuno degli anni 2025 e 2026 e di 1 milione di euro annui a decorrere dall'anno 2027 </w:t>
      </w:r>
      <w:r w:rsidRPr="002F54D0">
        <w:rPr>
          <w:rFonts w:ascii="Bookman Old Style" w:hAnsi="Bookman Old Style" w:cs="CIDFont+F2"/>
          <w:kern w:val="0"/>
        </w:rPr>
        <w:t>per il contrasto della povertà alimentare a scuola</w:t>
      </w:r>
      <w:r w:rsidR="00A766DA" w:rsidRPr="002F54D0">
        <w:rPr>
          <w:rFonts w:ascii="Bookman Old Style" w:hAnsi="Bookman Old Style" w:cs="CIDFont+F2"/>
          <w:kern w:val="0"/>
        </w:rPr>
        <w:t>. Il fondo è</w:t>
      </w:r>
      <w:r w:rsidRPr="002F54D0">
        <w:rPr>
          <w:rFonts w:ascii="Bookman Old Style" w:hAnsi="Bookman Old Style" w:cs="CIDFont+F2"/>
          <w:kern w:val="0"/>
        </w:rPr>
        <w:t xml:space="preserve"> destinato ai Comuni per erogare contributi a favore dei nuclei familiari che a causa di condizioni oggettive di impoverimento durante l'anno scolastico non riescano a provvedere al pagamento delle rette previste per la fruizione del servizio di ristorazione scolastica nella scuola primaria. </w:t>
      </w:r>
      <w:r w:rsidR="00A766DA" w:rsidRPr="002F54D0">
        <w:rPr>
          <w:rFonts w:ascii="Bookman Old Style" w:hAnsi="Bookman Old Style" w:cs="CIDFont+F2"/>
          <w:kern w:val="0"/>
        </w:rPr>
        <w:t>C</w:t>
      </w:r>
      <w:r w:rsidRPr="002F54D0">
        <w:rPr>
          <w:rFonts w:ascii="Bookman Old Style" w:hAnsi="Bookman Old Style" w:cs="CIDFont+F2"/>
          <w:kern w:val="0"/>
        </w:rPr>
        <w:t>on decreto del Ministero del lavoro, di concerto con MIM e MEF vengono stabilite le modalità e i criteri di riparto del fondo.</w:t>
      </w:r>
    </w:p>
    <w:p w14:paraId="01C6A179" w14:textId="77777777" w:rsidR="007136E5" w:rsidRPr="002F54D0" w:rsidRDefault="007136E5" w:rsidP="00BC64E9">
      <w:pPr>
        <w:autoSpaceDE w:val="0"/>
        <w:autoSpaceDN w:val="0"/>
        <w:adjustRightInd w:val="0"/>
        <w:spacing w:after="0" w:line="240" w:lineRule="auto"/>
        <w:jc w:val="both"/>
        <w:rPr>
          <w:rFonts w:ascii="Bookman Old Style" w:hAnsi="Bookman Old Style" w:cs="CIDFont+F2"/>
          <w:kern w:val="0"/>
        </w:rPr>
      </w:pPr>
    </w:p>
    <w:p w14:paraId="79306F7E" w14:textId="77777777" w:rsidR="001B2AE8" w:rsidRPr="00A06F13" w:rsidRDefault="001B2AE8" w:rsidP="00A06F13">
      <w:pPr>
        <w:pStyle w:val="Titolo2"/>
        <w:numPr>
          <w:ilvl w:val="0"/>
          <w:numId w:val="16"/>
        </w:numPr>
        <w:rPr>
          <w:rFonts w:ascii="Bookman Old Style" w:hAnsi="Bookman Old Style"/>
          <w:b/>
          <w:bCs/>
          <w:sz w:val="22"/>
          <w:szCs w:val="22"/>
        </w:rPr>
      </w:pPr>
      <w:bookmarkStart w:id="24" w:name="_Toc185343528"/>
      <w:bookmarkStart w:id="25" w:name="_Toc185344941"/>
      <w:bookmarkStart w:id="26" w:name="_Toc185431859"/>
      <w:r w:rsidRPr="00A06F13">
        <w:rPr>
          <w:rFonts w:ascii="Bookman Old Style" w:hAnsi="Bookman Old Style"/>
          <w:b/>
          <w:bCs/>
          <w:sz w:val="22"/>
          <w:szCs w:val="22"/>
        </w:rPr>
        <w:t>Fondo morosità incolpevole</w:t>
      </w:r>
      <w:bookmarkEnd w:id="24"/>
      <w:bookmarkEnd w:id="25"/>
      <w:r w:rsidRPr="00A06F13">
        <w:rPr>
          <w:rFonts w:ascii="Bookman Old Style" w:hAnsi="Bookman Old Style"/>
          <w:b/>
          <w:bCs/>
          <w:sz w:val="22"/>
          <w:szCs w:val="22"/>
        </w:rPr>
        <w:t xml:space="preserve"> (Art. 17 bis)</w:t>
      </w:r>
      <w:bookmarkEnd w:id="26"/>
    </w:p>
    <w:p w14:paraId="52322CBC" w14:textId="31F762C2" w:rsidR="001B2AE8" w:rsidRPr="002F54D0" w:rsidRDefault="001B2AE8" w:rsidP="001B2AE8">
      <w:pPr>
        <w:autoSpaceDE w:val="0"/>
        <w:autoSpaceDN w:val="0"/>
        <w:adjustRightInd w:val="0"/>
        <w:spacing w:after="0" w:line="240" w:lineRule="auto"/>
        <w:jc w:val="both"/>
        <w:rPr>
          <w:rFonts w:ascii="Bookman Old Style" w:hAnsi="Bookman Old Style" w:cs="CIDFont+F2"/>
          <w:kern w:val="0"/>
        </w:rPr>
      </w:pPr>
      <w:bookmarkStart w:id="27" w:name="_Hlk185415868"/>
      <w:r w:rsidRPr="002F54D0">
        <w:rPr>
          <w:rFonts w:ascii="Bookman Old Style" w:hAnsi="Bookman Old Style" w:cs="CIDFont+F2"/>
          <w:kern w:val="0"/>
        </w:rPr>
        <w:t>La norma</w:t>
      </w:r>
      <w:r w:rsidR="00F96F11" w:rsidRPr="002F54D0">
        <w:rPr>
          <w:rFonts w:ascii="Bookman Old Style" w:hAnsi="Bookman Old Style" w:cs="CIDFont+F2"/>
          <w:kern w:val="0"/>
        </w:rPr>
        <w:t xml:space="preserve">, </w:t>
      </w:r>
      <w:r w:rsidR="00F96F11" w:rsidRPr="002F54D0">
        <w:rPr>
          <w:rFonts w:ascii="Bookman Old Style" w:hAnsi="Bookman Old Style"/>
        </w:rPr>
        <w:t>approvata in commissione bilancio Camera</w:t>
      </w:r>
      <w:bookmarkEnd w:id="27"/>
      <w:r w:rsidR="00F96F11" w:rsidRPr="002F54D0">
        <w:rPr>
          <w:rFonts w:ascii="Bookman Old Style" w:hAnsi="Bookman Old Style"/>
        </w:rPr>
        <w:t xml:space="preserve">, </w:t>
      </w:r>
      <w:r w:rsidR="006A1458">
        <w:rPr>
          <w:rFonts w:ascii="Bookman Old Style" w:hAnsi="Bookman Old Style" w:cs="CIDFont+F2"/>
          <w:kern w:val="0"/>
        </w:rPr>
        <w:t>rifinanzia</w:t>
      </w:r>
      <w:r w:rsidRPr="002F54D0">
        <w:rPr>
          <w:rFonts w:ascii="Bookman Old Style" w:hAnsi="Bookman Old Style" w:cs="CIDFont+F2"/>
          <w:kern w:val="0"/>
        </w:rPr>
        <w:t xml:space="preserve"> il Fondo per la morosità incolpevole di 10 milioni per il 2025 e di 20 milioni per il 2026. Entro 30 giorni si provvede ad individuare i criteri e le modalità di utilizzo delle risorse, pena il </w:t>
      </w:r>
      <w:proofErr w:type="spellStart"/>
      <w:r w:rsidRPr="002F54D0">
        <w:rPr>
          <w:rFonts w:ascii="Bookman Old Style" w:hAnsi="Bookman Old Style" w:cs="CIDFont+F2"/>
          <w:kern w:val="0"/>
        </w:rPr>
        <w:t>definanziamento</w:t>
      </w:r>
      <w:proofErr w:type="spellEnd"/>
      <w:r w:rsidRPr="002F54D0">
        <w:rPr>
          <w:rFonts w:ascii="Bookman Old Style" w:hAnsi="Bookman Old Style" w:cs="CIDFont+F2"/>
          <w:kern w:val="0"/>
        </w:rPr>
        <w:t>, per l'erogazione entro e non oltre il 31 luglio di ogni anno. Oltre ai requisiti già stabiliti dalla legge, è necessario che permanga lo stato di bisogno connesso alla perdita totale o a una consistente riduzione della capacità reddituale del nucleo familiare.</w:t>
      </w:r>
    </w:p>
    <w:p w14:paraId="235CCB86" w14:textId="77777777" w:rsidR="0051334E" w:rsidRDefault="0051334E" w:rsidP="0051334E">
      <w:pPr>
        <w:rPr>
          <w:rFonts w:ascii="Bookman Old Style" w:hAnsi="Bookman Old Style"/>
        </w:rPr>
      </w:pPr>
      <w:bookmarkStart w:id="28" w:name="_Toc185413380"/>
      <w:bookmarkStart w:id="29" w:name="_Toc185416113"/>
    </w:p>
    <w:p w14:paraId="4CF62287" w14:textId="6F2976C8" w:rsidR="0051334E" w:rsidRPr="007D0FAB" w:rsidRDefault="00E725BA" w:rsidP="007D0FAB">
      <w:pPr>
        <w:pStyle w:val="Paragrafoelenco"/>
        <w:numPr>
          <w:ilvl w:val="0"/>
          <w:numId w:val="17"/>
        </w:numPr>
        <w:rPr>
          <w:rFonts w:ascii="Bookman Old Style" w:eastAsiaTheme="majorEastAsia" w:hAnsi="Bookman Old Style" w:cstheme="majorBidi"/>
          <w:b/>
          <w:bCs/>
          <w:color w:val="0F4761" w:themeColor="accent1" w:themeShade="BF"/>
        </w:rPr>
      </w:pPr>
      <w:r w:rsidRPr="007D0FAB">
        <w:rPr>
          <w:rFonts w:ascii="Bookman Old Style" w:eastAsiaTheme="majorEastAsia" w:hAnsi="Bookman Old Style" w:cstheme="majorBidi"/>
          <w:b/>
          <w:bCs/>
          <w:color w:val="0F4761" w:themeColor="accent1" w:themeShade="BF"/>
        </w:rPr>
        <w:t>Fondi in favore degli enti locali e alla realizzazione di interventi in materia sociale, socio-sanitaria assistenziale</w:t>
      </w:r>
      <w:bookmarkEnd w:id="28"/>
      <w:bookmarkEnd w:id="29"/>
      <w:r w:rsidR="00BA515F" w:rsidRPr="007D0FAB">
        <w:rPr>
          <w:rFonts w:ascii="Bookman Old Style" w:eastAsiaTheme="majorEastAsia" w:hAnsi="Bookman Old Style" w:cstheme="majorBidi"/>
          <w:b/>
          <w:bCs/>
          <w:color w:val="0F4761" w:themeColor="accent1" w:themeShade="BF"/>
        </w:rPr>
        <w:t xml:space="preserve"> (</w:t>
      </w:r>
      <w:r w:rsidR="008149C0" w:rsidRPr="007D0FAB">
        <w:rPr>
          <w:rFonts w:ascii="Bookman Old Style" w:eastAsiaTheme="majorEastAsia" w:hAnsi="Bookman Old Style" w:cstheme="majorBidi"/>
          <w:b/>
          <w:bCs/>
          <w:color w:val="0F4761" w:themeColor="accent1" w:themeShade="BF"/>
        </w:rPr>
        <w:t>Art. 123 bis)</w:t>
      </w:r>
    </w:p>
    <w:p w14:paraId="620CBFB1" w14:textId="49A6292C" w:rsidR="0051334E" w:rsidRDefault="00E725BA" w:rsidP="00D2703F">
      <w:pPr>
        <w:jc w:val="both"/>
        <w:rPr>
          <w:rFonts w:ascii="Bookman Old Style" w:hAnsi="Bookman Old Style"/>
        </w:rPr>
      </w:pPr>
      <w:r>
        <w:rPr>
          <w:rFonts w:ascii="Bookman Old Style" w:hAnsi="Bookman Old Style"/>
        </w:rPr>
        <w:t xml:space="preserve">La norma </w:t>
      </w:r>
      <w:r w:rsidR="000C6B5A">
        <w:rPr>
          <w:rFonts w:ascii="Bookman Old Style" w:hAnsi="Bookman Old Style"/>
        </w:rPr>
        <w:t>proposta dai relatori e approvata in commission</w:t>
      </w:r>
      <w:r w:rsidR="00621ACB">
        <w:rPr>
          <w:rFonts w:ascii="Bookman Old Style" w:hAnsi="Bookman Old Style"/>
        </w:rPr>
        <w:t>e</w:t>
      </w:r>
      <w:r w:rsidR="000C6B5A">
        <w:rPr>
          <w:rFonts w:ascii="Bookman Old Style" w:hAnsi="Bookman Old Style"/>
        </w:rPr>
        <w:t xml:space="preserve"> bilancio Camera istituisce nello stato</w:t>
      </w:r>
      <w:r w:rsidR="0051334E">
        <w:rPr>
          <w:rFonts w:ascii="Bookman Old Style" w:hAnsi="Bookman Old Style"/>
        </w:rPr>
        <w:t xml:space="preserve"> di previsione del </w:t>
      </w:r>
      <w:r w:rsidR="00621ACB">
        <w:rPr>
          <w:rFonts w:ascii="Bookman Old Style" w:hAnsi="Bookman Old Style"/>
        </w:rPr>
        <w:t>MEF</w:t>
      </w:r>
      <w:r w:rsidR="0051334E">
        <w:rPr>
          <w:rFonts w:ascii="Bookman Old Style" w:hAnsi="Bookman Old Style"/>
        </w:rPr>
        <w:t xml:space="preserve"> un fondo di parte corrente con una dotazione di 18.560.000 euro per l'anno 2025, di 20.260.000 euro per l'anno 2026 e di 19.102.000 euro per l'anno 2027, finalizzato all'attuazione di misure in favore degli enti locali e alla realizzazione di interventi in materia sociale, socio-sanitaria assistenziale, di infrastrutture, sport e cultura da parte di associazioni, fondazioni ed enti operanti sul territorio, nonché di recupero e conservazione del patrimonio storico, artistico e architettonico.</w:t>
      </w:r>
    </w:p>
    <w:p w14:paraId="3C0BAF8B" w14:textId="67F2A094" w:rsidR="0051334E" w:rsidRDefault="0051334E" w:rsidP="00D2703F">
      <w:pPr>
        <w:jc w:val="both"/>
        <w:rPr>
          <w:rFonts w:ascii="Bookman Old Style" w:hAnsi="Bookman Old Style"/>
        </w:rPr>
      </w:pPr>
      <w:r>
        <w:rPr>
          <w:rFonts w:ascii="Bookman Old Style" w:hAnsi="Bookman Old Style"/>
        </w:rPr>
        <w:t>È istituito, altresì, nello stato di previsione del M</w:t>
      </w:r>
      <w:r w:rsidR="00D2703F">
        <w:rPr>
          <w:rFonts w:ascii="Bookman Old Style" w:hAnsi="Bookman Old Style"/>
        </w:rPr>
        <w:t>EF</w:t>
      </w:r>
      <w:r>
        <w:rPr>
          <w:rFonts w:ascii="Bookman Old Style" w:hAnsi="Bookman Old Style"/>
        </w:rPr>
        <w:t>, un apposito fondo di conto capitale con una dotazione di 26.750.000 euro per l'anno 2025, di 21.550.000 euro per l'anno 2026 e di 8.400.000 per l'anno 2027, per investimenti in materia di infrastrutture stradali, sportive, scolastiche, ospedaliere, socio-sanitarie assistenzial</w:t>
      </w:r>
      <w:r w:rsidR="009060F7">
        <w:rPr>
          <w:rFonts w:ascii="Bookman Old Style" w:hAnsi="Bookman Old Style"/>
        </w:rPr>
        <w:t>i</w:t>
      </w:r>
      <w:r>
        <w:rPr>
          <w:rFonts w:ascii="Bookman Old Style" w:hAnsi="Bookman Old Style"/>
        </w:rPr>
        <w:t>, di mobilità, e di riqualificazione ambientale nonché di recupero e mantenimento del patrimonio storico, artistico e architettonico.</w:t>
      </w:r>
    </w:p>
    <w:p w14:paraId="4E5DDCD5" w14:textId="77777777" w:rsidR="0051334E" w:rsidRDefault="0051334E" w:rsidP="00BA515F">
      <w:pPr>
        <w:jc w:val="both"/>
        <w:rPr>
          <w:rFonts w:ascii="Bookman Old Style" w:hAnsi="Bookman Old Style"/>
        </w:rPr>
      </w:pPr>
      <w:r>
        <w:rPr>
          <w:rFonts w:ascii="Bookman Old Style" w:hAnsi="Bookman Old Style"/>
        </w:rPr>
        <w:t>Alla ripartizione delle risorse dei suddetti fondi si provvede con uno o più decreti del Presidente del Consiglio dei ministri, da adottare, di concerto con il Ministro dell'economia e delle finanze.</w:t>
      </w:r>
    </w:p>
    <w:p w14:paraId="28C373E9" w14:textId="06C1C613" w:rsidR="00671FCB" w:rsidRPr="002F54D0" w:rsidRDefault="000530B5" w:rsidP="0049128F">
      <w:pPr>
        <w:pStyle w:val="Titolo1"/>
        <w:rPr>
          <w:rFonts w:ascii="Bookman Old Style" w:hAnsi="Bookman Old Style"/>
          <w:b/>
          <w:bCs/>
          <w:sz w:val="22"/>
          <w:szCs w:val="22"/>
        </w:rPr>
      </w:pPr>
      <w:bookmarkStart w:id="30" w:name="_Toc185431860"/>
      <w:r w:rsidRPr="002F54D0">
        <w:rPr>
          <w:rFonts w:ascii="Bookman Old Style" w:hAnsi="Bookman Old Style"/>
          <w:b/>
          <w:bCs/>
          <w:sz w:val="22"/>
          <w:szCs w:val="22"/>
        </w:rPr>
        <w:t>WELFARE</w:t>
      </w:r>
      <w:bookmarkEnd w:id="30"/>
    </w:p>
    <w:p w14:paraId="483E132E" w14:textId="77777777" w:rsidR="000530B5" w:rsidRPr="007D0FAB" w:rsidRDefault="000530B5" w:rsidP="007D0FAB">
      <w:pPr>
        <w:pStyle w:val="Titolo2"/>
        <w:numPr>
          <w:ilvl w:val="0"/>
          <w:numId w:val="18"/>
        </w:numPr>
        <w:rPr>
          <w:rFonts w:ascii="Bookman Old Style" w:hAnsi="Bookman Old Style"/>
          <w:b/>
          <w:bCs/>
          <w:sz w:val="22"/>
          <w:szCs w:val="22"/>
        </w:rPr>
      </w:pPr>
      <w:bookmarkStart w:id="31" w:name="_Toc185431861"/>
      <w:r w:rsidRPr="007D0FAB">
        <w:rPr>
          <w:rFonts w:ascii="Bookman Old Style" w:hAnsi="Bookman Old Style"/>
          <w:b/>
          <w:bCs/>
          <w:sz w:val="22"/>
          <w:szCs w:val="22"/>
        </w:rPr>
        <w:t>Modalità utilizzo fondo unico inclusione disabilità (Art. 38)</w:t>
      </w:r>
      <w:bookmarkEnd w:id="31"/>
    </w:p>
    <w:p w14:paraId="10729465" w14:textId="7EEE194F" w:rsidR="000530B5" w:rsidRPr="002F54D0" w:rsidRDefault="000530B5" w:rsidP="000530B5">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w:t>
      </w:r>
      <w:r w:rsidRPr="002F54D0">
        <w:rPr>
          <w:rFonts w:ascii="Bookman Old Style" w:hAnsi="Bookman Old Style"/>
        </w:rPr>
        <w:t xml:space="preserve">approvata in commissione </w:t>
      </w:r>
      <w:r w:rsidR="00A73BF4">
        <w:rPr>
          <w:rFonts w:ascii="Bookman Old Style" w:hAnsi="Bookman Old Style"/>
        </w:rPr>
        <w:t>B</w:t>
      </w:r>
      <w:r w:rsidR="00A73BF4" w:rsidRPr="002F54D0">
        <w:rPr>
          <w:rFonts w:ascii="Bookman Old Style" w:hAnsi="Bookman Old Style"/>
        </w:rPr>
        <w:t xml:space="preserve">ilancio </w:t>
      </w:r>
      <w:r w:rsidRPr="002F54D0">
        <w:rPr>
          <w:rFonts w:ascii="Bookman Old Style" w:hAnsi="Bookman Old Style"/>
        </w:rPr>
        <w:t>Camera,</w:t>
      </w:r>
      <w:r w:rsidRPr="002F54D0">
        <w:rPr>
          <w:rFonts w:ascii="Bookman Old Style" w:hAnsi="Bookman Old Style" w:cs="CIDFont+F2"/>
          <w:kern w:val="0"/>
        </w:rPr>
        <w:t xml:space="preserve"> stabilisce che i criteri generali per l'utilizzo del Fondo unico per l'inclusione delle persone con disabilità, nonché gli eventuali criteri di riparto tra le regioni delle quote del Fondo, siano definiti con uno o più decreti dell'Autorità politica delegata in materia di disabilità, adottati di concerto con il MEF e con gli altri Ministri competenti per materia. Prevede inoltre che l'utilizzo del Fondo avvenga in coerenza con i criteri determinati dai suddetti decreti, tramite ulteriori </w:t>
      </w:r>
      <w:r w:rsidR="00A73BF4">
        <w:rPr>
          <w:rFonts w:ascii="Bookman Old Style" w:hAnsi="Bookman Old Style" w:cs="CIDFont+F2"/>
          <w:kern w:val="0"/>
        </w:rPr>
        <w:t>provvedimenti</w:t>
      </w:r>
      <w:r w:rsidR="00A73BF4" w:rsidRPr="002F54D0">
        <w:rPr>
          <w:rFonts w:ascii="Bookman Old Style" w:hAnsi="Bookman Old Style" w:cs="CIDFont+F2"/>
          <w:kern w:val="0"/>
        </w:rPr>
        <w:t xml:space="preserve"> </w:t>
      </w:r>
      <w:r w:rsidRPr="002F54D0">
        <w:rPr>
          <w:rFonts w:ascii="Bookman Old Style" w:hAnsi="Bookman Old Style" w:cs="CIDFont+F2"/>
          <w:kern w:val="0"/>
        </w:rPr>
        <w:t>adottati secondo le stesse modalità.</w:t>
      </w:r>
    </w:p>
    <w:p w14:paraId="5D37760C" w14:textId="4590FC16" w:rsidR="00420DEB" w:rsidRPr="002F54D0" w:rsidRDefault="00671FCB" w:rsidP="0049128F">
      <w:pPr>
        <w:pStyle w:val="Titolo1"/>
        <w:rPr>
          <w:rFonts w:ascii="Bookman Old Style" w:hAnsi="Bookman Old Style"/>
          <w:b/>
          <w:bCs/>
          <w:sz w:val="22"/>
          <w:szCs w:val="22"/>
        </w:rPr>
      </w:pPr>
      <w:bookmarkStart w:id="32" w:name="_Toc185431862"/>
      <w:r w:rsidRPr="002F54D0">
        <w:rPr>
          <w:rFonts w:ascii="Bookman Old Style" w:hAnsi="Bookman Old Style"/>
          <w:b/>
          <w:bCs/>
          <w:sz w:val="22"/>
          <w:szCs w:val="22"/>
        </w:rPr>
        <w:t>SCUOLA</w:t>
      </w:r>
      <w:bookmarkEnd w:id="32"/>
      <w:r w:rsidRPr="002F54D0">
        <w:rPr>
          <w:rFonts w:ascii="Bookman Old Style" w:hAnsi="Bookman Old Style"/>
          <w:b/>
          <w:bCs/>
          <w:sz w:val="22"/>
          <w:szCs w:val="22"/>
        </w:rPr>
        <w:t xml:space="preserve"> </w:t>
      </w:r>
    </w:p>
    <w:p w14:paraId="7DCDB67A" w14:textId="77777777" w:rsidR="000530B5" w:rsidRPr="007D0FAB" w:rsidRDefault="000530B5" w:rsidP="007D0FAB">
      <w:pPr>
        <w:pStyle w:val="Titolo2"/>
        <w:numPr>
          <w:ilvl w:val="0"/>
          <w:numId w:val="19"/>
        </w:numPr>
        <w:rPr>
          <w:rFonts w:ascii="Bookman Old Style" w:hAnsi="Bookman Old Style"/>
          <w:b/>
          <w:bCs/>
          <w:sz w:val="22"/>
          <w:szCs w:val="22"/>
        </w:rPr>
      </w:pPr>
      <w:bookmarkStart w:id="33" w:name="_Toc185431863"/>
      <w:bookmarkStart w:id="34" w:name="_Toc185416110"/>
      <w:r w:rsidRPr="007D0FAB">
        <w:rPr>
          <w:rFonts w:ascii="Bookman Old Style" w:hAnsi="Bookman Old Style"/>
          <w:b/>
          <w:bCs/>
          <w:sz w:val="22"/>
          <w:szCs w:val="22"/>
        </w:rPr>
        <w:t>Istituzione fondo sostegno attività educative (Art. 33 bis)</w:t>
      </w:r>
      <w:bookmarkEnd w:id="33"/>
    </w:p>
    <w:p w14:paraId="57DE6E04" w14:textId="77777777" w:rsidR="000530B5" w:rsidRPr="002F54D0" w:rsidRDefault="000530B5" w:rsidP="000530B5">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La norma, approvata in commissione bilancio Camera, Istituisce il «Fondo per il sostegno alle attività educative formali e non formali», con una dotazione pari a 3 milioni di euro per l'anno 2025, 3,5 milioni per il 2026 e 4 milioni per il 2027. Tali risorse, dovranno essere destinate al finanziamento delle iniziative educative e ricreative che coinvolgono i bambini e gli adolescenti dei comuni, da realizzare anche in collaborazione con enti pubblici e privati, ovvero con le istituzioni scolastiche del sistema nazionale di istruzione anche promuovendo le comunità educanti. Le iniziative possono essere svolte, anche attraverso accordi con i Comuni limitrofi, presso le scuole, i centri estivi, i servizi socio-educativi territoriali, i centri con funzione educativa e ricreativa per i minori, gli enti religiosi. Le modalità attuative del fondo sono stabilite attraverso decreto del Presidente del Consiglio dei Ministri, di concerto con i Ministeri dell'interno e dell'economia, da adottare entro 60 giorni dall'entrata in vigore della legge</w:t>
      </w:r>
    </w:p>
    <w:p w14:paraId="0B2F677F" w14:textId="77777777" w:rsidR="000530B5" w:rsidRPr="002F54D0" w:rsidRDefault="000530B5" w:rsidP="000530B5">
      <w:pPr>
        <w:autoSpaceDE w:val="0"/>
        <w:autoSpaceDN w:val="0"/>
        <w:adjustRightInd w:val="0"/>
        <w:spacing w:after="0" w:line="240" w:lineRule="auto"/>
        <w:jc w:val="both"/>
        <w:rPr>
          <w:rFonts w:ascii="Bookman Old Style" w:hAnsi="Bookman Old Style" w:cs="CIDFont+F2"/>
          <w:kern w:val="0"/>
        </w:rPr>
      </w:pPr>
    </w:p>
    <w:p w14:paraId="21485996" w14:textId="0A9A0E25" w:rsidR="00420DEB" w:rsidRPr="007D0FAB" w:rsidRDefault="004D28AA" w:rsidP="007D0FAB">
      <w:pPr>
        <w:pStyle w:val="Titolo2"/>
        <w:numPr>
          <w:ilvl w:val="0"/>
          <w:numId w:val="20"/>
        </w:numPr>
        <w:rPr>
          <w:rFonts w:ascii="Bookman Old Style" w:hAnsi="Bookman Old Style"/>
          <w:b/>
          <w:bCs/>
          <w:sz w:val="22"/>
          <w:szCs w:val="22"/>
        </w:rPr>
      </w:pPr>
      <w:bookmarkStart w:id="35" w:name="_Toc185431864"/>
      <w:r w:rsidRPr="007D0FAB">
        <w:rPr>
          <w:rFonts w:ascii="Bookman Old Style" w:hAnsi="Bookman Old Style"/>
          <w:b/>
          <w:bCs/>
          <w:sz w:val="22"/>
          <w:szCs w:val="22"/>
        </w:rPr>
        <w:t xml:space="preserve">Aumento </w:t>
      </w:r>
      <w:r w:rsidR="00C56C0A" w:rsidRPr="007D0FAB">
        <w:rPr>
          <w:rFonts w:ascii="Bookman Old Style" w:hAnsi="Bookman Old Style"/>
          <w:b/>
          <w:bCs/>
          <w:sz w:val="22"/>
          <w:szCs w:val="22"/>
        </w:rPr>
        <w:t>organico dell’autonomia per alunni con disabilità</w:t>
      </w:r>
      <w:bookmarkEnd w:id="34"/>
      <w:r w:rsidR="00C56C0A" w:rsidRPr="007D0FAB">
        <w:rPr>
          <w:rFonts w:ascii="Bookman Old Style" w:hAnsi="Bookman Old Style"/>
          <w:b/>
          <w:bCs/>
          <w:sz w:val="22"/>
          <w:szCs w:val="22"/>
        </w:rPr>
        <w:t xml:space="preserve"> </w:t>
      </w:r>
      <w:r w:rsidR="00420DEB" w:rsidRPr="007D0FAB">
        <w:rPr>
          <w:rFonts w:ascii="Bookman Old Style" w:hAnsi="Bookman Old Style"/>
          <w:b/>
          <w:bCs/>
          <w:sz w:val="22"/>
          <w:szCs w:val="22"/>
        </w:rPr>
        <w:t>(</w:t>
      </w:r>
      <w:r w:rsidR="00C56C0A" w:rsidRPr="007D0FAB">
        <w:rPr>
          <w:rFonts w:ascii="Bookman Old Style" w:hAnsi="Bookman Old Style"/>
          <w:b/>
          <w:bCs/>
          <w:sz w:val="22"/>
          <w:szCs w:val="22"/>
        </w:rPr>
        <w:t>A</w:t>
      </w:r>
      <w:r w:rsidR="00420DEB" w:rsidRPr="007D0FAB">
        <w:rPr>
          <w:rFonts w:ascii="Bookman Old Style" w:hAnsi="Bookman Old Style"/>
          <w:b/>
          <w:bCs/>
          <w:sz w:val="22"/>
          <w:szCs w:val="22"/>
        </w:rPr>
        <w:t>rt. 84 comma 1-bis)</w:t>
      </w:r>
      <w:bookmarkEnd w:id="35"/>
    </w:p>
    <w:p w14:paraId="25DED697" w14:textId="2B89CCD7" w:rsidR="00420DEB" w:rsidRPr="002F54D0" w:rsidRDefault="00420DEB" w:rsidP="00C56C0A">
      <w:pPr>
        <w:jc w:val="both"/>
        <w:rPr>
          <w:rFonts w:ascii="Bookman Old Style" w:hAnsi="Bookman Old Style"/>
        </w:rPr>
      </w:pPr>
      <w:r w:rsidRPr="002F54D0">
        <w:rPr>
          <w:rFonts w:ascii="Bookman Old Style" w:hAnsi="Bookman Old Style"/>
        </w:rPr>
        <w:t>La norma, proposta dai relatori e approvata in commissione bilancio</w:t>
      </w:r>
      <w:r w:rsidR="00485DAA" w:rsidRPr="002F54D0">
        <w:rPr>
          <w:rFonts w:ascii="Bookman Old Style" w:hAnsi="Bookman Old Style"/>
        </w:rPr>
        <w:t>, al fine di</w:t>
      </w:r>
      <w:r w:rsidR="00485DAA" w:rsidRPr="002F54D0">
        <w:rPr>
          <w:rFonts w:ascii="Bookman Old Style" w:hAnsi="Bookman Old Style"/>
          <w:b/>
          <w:bCs/>
        </w:rPr>
        <w:t xml:space="preserve"> </w:t>
      </w:r>
      <w:r w:rsidRPr="002F54D0">
        <w:rPr>
          <w:rFonts w:ascii="Bookman Old Style" w:hAnsi="Bookman Old Style"/>
        </w:rPr>
        <w:t xml:space="preserve">garantire la continuità didattica per gli alunni con disabilità, </w:t>
      </w:r>
      <w:r w:rsidR="00485DAA" w:rsidRPr="002F54D0">
        <w:rPr>
          <w:rFonts w:ascii="Bookman Old Style" w:hAnsi="Bookman Old Style"/>
        </w:rPr>
        <w:t xml:space="preserve">incrementa </w:t>
      </w:r>
      <w:r w:rsidRPr="002F54D0">
        <w:rPr>
          <w:rFonts w:ascii="Bookman Old Style" w:hAnsi="Bookman Old Style"/>
        </w:rPr>
        <w:t>la dotazione dell’organico dell'autonomia di 1.</w:t>
      </w:r>
      <w:r w:rsidR="00E06BC2" w:rsidRPr="002F54D0">
        <w:rPr>
          <w:rFonts w:ascii="Bookman Old Style" w:hAnsi="Bookman Old Style"/>
        </w:rPr>
        <w:t>866</w:t>
      </w:r>
      <w:r w:rsidRPr="002F54D0">
        <w:rPr>
          <w:rFonts w:ascii="Bookman Old Style" w:hAnsi="Bookman Old Style"/>
        </w:rPr>
        <w:t xml:space="preserve"> posti di sostegno a decorrere dall'anno scolastico 2025- 2026. </w:t>
      </w:r>
    </w:p>
    <w:p w14:paraId="41C1F66D" w14:textId="0559BF68" w:rsidR="00420DEB" w:rsidRPr="002F54D0" w:rsidRDefault="000530B5" w:rsidP="00F26F8A">
      <w:pPr>
        <w:pStyle w:val="Titolo1"/>
        <w:rPr>
          <w:rFonts w:ascii="Bookman Old Style" w:hAnsi="Bookman Old Style"/>
          <w:b/>
          <w:bCs/>
          <w:sz w:val="22"/>
          <w:szCs w:val="22"/>
        </w:rPr>
      </w:pPr>
      <w:bookmarkStart w:id="36" w:name="_Toc185431865"/>
      <w:r w:rsidRPr="002F54D0">
        <w:rPr>
          <w:rFonts w:ascii="Bookman Old Style" w:hAnsi="Bookman Old Style"/>
          <w:b/>
          <w:bCs/>
          <w:sz w:val="22"/>
          <w:szCs w:val="22"/>
        </w:rPr>
        <w:t>CULTURA</w:t>
      </w:r>
      <w:bookmarkEnd w:id="36"/>
    </w:p>
    <w:p w14:paraId="17E93C0D" w14:textId="77777777" w:rsidR="002F4C5A" w:rsidRPr="007D0FAB" w:rsidRDefault="002F4C5A" w:rsidP="007D0FAB">
      <w:pPr>
        <w:pStyle w:val="Titolo2"/>
        <w:numPr>
          <w:ilvl w:val="0"/>
          <w:numId w:val="21"/>
        </w:numPr>
        <w:rPr>
          <w:rFonts w:ascii="Bookman Old Style" w:hAnsi="Bookman Old Style"/>
          <w:b/>
          <w:bCs/>
          <w:sz w:val="22"/>
          <w:szCs w:val="22"/>
        </w:rPr>
      </w:pPr>
      <w:bookmarkStart w:id="37" w:name="_Toc185431866"/>
      <w:r w:rsidRPr="007D0FAB">
        <w:rPr>
          <w:rFonts w:ascii="Bookman Old Style" w:hAnsi="Bookman Old Style"/>
          <w:b/>
          <w:bCs/>
          <w:sz w:val="22"/>
          <w:szCs w:val="22"/>
        </w:rPr>
        <w:t>Fondo nazionale per lo spettacolo dal vivo (Art. 88, comma 4 bis)</w:t>
      </w:r>
      <w:bookmarkEnd w:id="37"/>
    </w:p>
    <w:p w14:paraId="69B172A5" w14:textId="77777777" w:rsidR="002F4C5A" w:rsidRPr="002F54D0" w:rsidRDefault="002F4C5A" w:rsidP="002F4C5A">
      <w:pPr>
        <w:autoSpaceDE w:val="0"/>
        <w:autoSpaceDN w:val="0"/>
        <w:adjustRightInd w:val="0"/>
        <w:spacing w:after="0" w:line="240" w:lineRule="auto"/>
        <w:jc w:val="both"/>
        <w:rPr>
          <w:rFonts w:ascii="Bookman Old Style" w:hAnsi="Bookman Old Style" w:cs="CIDFont+F2"/>
          <w:kern w:val="0"/>
        </w:rPr>
      </w:pPr>
      <w:r w:rsidRPr="002F54D0">
        <w:rPr>
          <w:rFonts w:ascii="Bookman Old Style" w:hAnsi="Bookman Old Style" w:cs="CIDFont+F2"/>
          <w:kern w:val="0"/>
        </w:rPr>
        <w:t xml:space="preserve">La norma, </w:t>
      </w:r>
      <w:bookmarkStart w:id="38" w:name="_Hlk185416797"/>
      <w:r w:rsidRPr="002F54D0">
        <w:rPr>
          <w:rFonts w:ascii="Bookman Old Style" w:hAnsi="Bookman Old Style" w:cs="CIDFont+F2"/>
          <w:kern w:val="0"/>
        </w:rPr>
        <w:t>approvata in commissione bilancio Camera</w:t>
      </w:r>
      <w:bookmarkEnd w:id="38"/>
      <w:r w:rsidRPr="002F54D0">
        <w:rPr>
          <w:rFonts w:ascii="Bookman Old Style" w:hAnsi="Bookman Old Style" w:cs="CIDFont+F2"/>
          <w:kern w:val="0"/>
        </w:rPr>
        <w:t>, al fine di sostenere soggetti che svolgono attività di promozione del teatro urbano o che organizzano manifestazioni, rassegne e festival con l'impiego esclusivo degli artisti di strada, prevede che la quota del Fondo nazionale per lo spettacolo dal vivo sia incrementata di 0,5 milioni di euro per il 2025 e 1 milione di euro per ciascuno degli anni 2026 e 2027. Con DM del Ministero della cultura sono stabilite le modalità di attuazione.</w:t>
      </w:r>
    </w:p>
    <w:p w14:paraId="12B6A8A8" w14:textId="77777777" w:rsidR="00A36918" w:rsidRPr="002F54D0" w:rsidRDefault="00A36918" w:rsidP="00BC64E9">
      <w:pPr>
        <w:autoSpaceDE w:val="0"/>
        <w:autoSpaceDN w:val="0"/>
        <w:adjustRightInd w:val="0"/>
        <w:spacing w:after="0" w:line="240" w:lineRule="auto"/>
        <w:jc w:val="both"/>
        <w:rPr>
          <w:rFonts w:ascii="Bookman Old Style" w:hAnsi="Bookman Old Style" w:cs="CIDFont+F2"/>
          <w:kern w:val="0"/>
        </w:rPr>
      </w:pPr>
    </w:p>
    <w:p w14:paraId="457832B9" w14:textId="48ECB45F" w:rsidR="00965B25" w:rsidRPr="002F54D0" w:rsidRDefault="00F4752E" w:rsidP="00097DDF">
      <w:pPr>
        <w:pStyle w:val="Titolo1"/>
        <w:rPr>
          <w:rFonts w:ascii="Bookman Old Style" w:hAnsi="Bookman Old Style"/>
          <w:b/>
          <w:bCs/>
          <w:sz w:val="22"/>
          <w:szCs w:val="22"/>
        </w:rPr>
      </w:pPr>
      <w:bookmarkStart w:id="39" w:name="_Toc185431867"/>
      <w:r w:rsidRPr="002F54D0">
        <w:rPr>
          <w:rFonts w:ascii="Bookman Old Style" w:hAnsi="Bookman Old Style"/>
          <w:b/>
          <w:bCs/>
          <w:sz w:val="22"/>
          <w:szCs w:val="22"/>
        </w:rPr>
        <w:t xml:space="preserve">SICUREZZA </w:t>
      </w:r>
      <w:r w:rsidR="007D0FAB" w:rsidRPr="002F54D0">
        <w:rPr>
          <w:rFonts w:ascii="Bookman Old Style" w:hAnsi="Bookman Old Style"/>
          <w:b/>
          <w:bCs/>
          <w:sz w:val="22"/>
          <w:szCs w:val="22"/>
        </w:rPr>
        <w:t>E LEGALIT</w:t>
      </w:r>
      <w:r w:rsidR="007D0FAB">
        <w:rPr>
          <w:rFonts w:ascii="Bookman Old Style" w:hAnsi="Bookman Old Style"/>
          <w:b/>
          <w:bCs/>
          <w:sz w:val="22"/>
          <w:szCs w:val="22"/>
        </w:rPr>
        <w:t>À</w:t>
      </w:r>
      <w:bookmarkEnd w:id="39"/>
    </w:p>
    <w:p w14:paraId="4DA658A0" w14:textId="450D13B8" w:rsidR="00E720FE" w:rsidRPr="007D0FAB" w:rsidRDefault="00F8651F" w:rsidP="007D0FAB">
      <w:pPr>
        <w:pStyle w:val="Titolo2"/>
        <w:numPr>
          <w:ilvl w:val="0"/>
          <w:numId w:val="22"/>
        </w:numPr>
        <w:rPr>
          <w:rFonts w:ascii="Bookman Old Style" w:hAnsi="Bookman Old Style"/>
          <w:b/>
          <w:bCs/>
          <w:sz w:val="22"/>
          <w:szCs w:val="22"/>
        </w:rPr>
      </w:pPr>
      <w:bookmarkStart w:id="40" w:name="_Toc185245944"/>
      <w:bookmarkStart w:id="41" w:name="_Toc185431868"/>
      <w:r w:rsidRPr="007D0FAB">
        <w:rPr>
          <w:rFonts w:ascii="Bookman Old Style" w:hAnsi="Bookman Old Style"/>
          <w:b/>
          <w:bCs/>
          <w:sz w:val="22"/>
          <w:szCs w:val="22"/>
        </w:rPr>
        <w:t>I</w:t>
      </w:r>
      <w:r w:rsidR="00203B12" w:rsidRPr="007D0FAB">
        <w:rPr>
          <w:rFonts w:ascii="Bookman Old Style" w:hAnsi="Bookman Old Style"/>
          <w:b/>
          <w:bCs/>
          <w:sz w:val="22"/>
          <w:szCs w:val="22"/>
        </w:rPr>
        <w:t>ncremento del fondo per la legalità</w:t>
      </w:r>
      <w:bookmarkEnd w:id="40"/>
      <w:r w:rsidR="00203B12" w:rsidRPr="007D0FAB">
        <w:rPr>
          <w:rFonts w:ascii="Bookman Old Style" w:hAnsi="Bookman Old Style"/>
          <w:b/>
          <w:bCs/>
          <w:sz w:val="22"/>
          <w:szCs w:val="22"/>
        </w:rPr>
        <w:t xml:space="preserve"> </w:t>
      </w:r>
      <w:r w:rsidR="002D5A97" w:rsidRPr="007D0FAB">
        <w:rPr>
          <w:rFonts w:ascii="Bookman Old Style" w:hAnsi="Bookman Old Style"/>
          <w:b/>
          <w:bCs/>
          <w:sz w:val="22"/>
          <w:szCs w:val="22"/>
        </w:rPr>
        <w:t>(Art. 101 ter)</w:t>
      </w:r>
      <w:bookmarkEnd w:id="41"/>
    </w:p>
    <w:p w14:paraId="1E06F581" w14:textId="1CD450C1" w:rsidR="00E720FE" w:rsidRPr="002F54D0" w:rsidRDefault="002D5A97" w:rsidP="00A0600E">
      <w:pPr>
        <w:jc w:val="both"/>
        <w:rPr>
          <w:rFonts w:ascii="Bookman Old Style" w:hAnsi="Bookman Old Style"/>
        </w:rPr>
      </w:pPr>
      <w:r w:rsidRPr="002F54D0">
        <w:rPr>
          <w:rFonts w:ascii="Bookman Old Style" w:hAnsi="Bookman Old Style"/>
        </w:rPr>
        <w:t xml:space="preserve">La norma, </w:t>
      </w:r>
      <w:r w:rsidR="00503A32" w:rsidRPr="002F54D0">
        <w:rPr>
          <w:rFonts w:ascii="Bookman Old Style" w:hAnsi="Bookman Old Style"/>
        </w:rPr>
        <w:t xml:space="preserve">proposta dai relatori e approvata in commissione bilancio, </w:t>
      </w:r>
      <w:r w:rsidR="005839C8" w:rsidRPr="002F54D0">
        <w:rPr>
          <w:rFonts w:ascii="Bookman Old Style" w:hAnsi="Bookman Old Style"/>
        </w:rPr>
        <w:t>incrementa di 5 milioni di euro per ciascuno degli anni 2025 e 2026</w:t>
      </w:r>
      <w:r w:rsidR="00A0600E" w:rsidRPr="002F54D0">
        <w:rPr>
          <w:rFonts w:ascii="Bookman Old Style" w:hAnsi="Bookman Old Style"/>
        </w:rPr>
        <w:t xml:space="preserve"> </w:t>
      </w:r>
      <w:r w:rsidR="005839C8" w:rsidRPr="002F54D0">
        <w:rPr>
          <w:rFonts w:ascii="Bookman Old Style" w:hAnsi="Bookman Old Style"/>
        </w:rPr>
        <w:t xml:space="preserve">il Fondo per la legalità e per la tutela degli amministratori locali vittime di atti intimidatori </w:t>
      </w:r>
      <w:r w:rsidRPr="002F54D0">
        <w:rPr>
          <w:rFonts w:ascii="Bookman Old Style" w:hAnsi="Bookman Old Style"/>
        </w:rPr>
        <w:t>al fine</w:t>
      </w:r>
      <w:r w:rsidR="00E720FE" w:rsidRPr="002F54D0">
        <w:rPr>
          <w:rFonts w:ascii="Bookman Old Style" w:hAnsi="Bookman Old Style"/>
        </w:rPr>
        <w:t xml:space="preserve"> di consentire agli enti locali di incrementare l'adozione di iniziative per la promozione della legalità nei loro territori, nonché di rinforzare le misure di ristoro del patrimonio dell'ente o in favore degli amministratori locali che hanno subìto episodi di intimidazione connessi all'esercizio delle funzioni istituzionali esercitate</w:t>
      </w:r>
      <w:r w:rsidR="00A0600E" w:rsidRPr="002F54D0">
        <w:rPr>
          <w:rFonts w:ascii="Bookman Old Style" w:hAnsi="Bookman Old Style"/>
        </w:rPr>
        <w:t>.</w:t>
      </w:r>
      <w:r w:rsidR="00E720FE" w:rsidRPr="002F54D0">
        <w:rPr>
          <w:rFonts w:ascii="Bookman Old Style" w:hAnsi="Bookman Old Style"/>
        </w:rPr>
        <w:t xml:space="preserve"> </w:t>
      </w:r>
    </w:p>
    <w:p w14:paraId="5C60B7CF" w14:textId="77777777" w:rsidR="00E720FE" w:rsidRPr="002F54D0" w:rsidRDefault="00E720FE" w:rsidP="00175367">
      <w:pPr>
        <w:autoSpaceDE w:val="0"/>
        <w:autoSpaceDN w:val="0"/>
        <w:adjustRightInd w:val="0"/>
        <w:spacing w:after="0" w:line="240" w:lineRule="auto"/>
        <w:jc w:val="both"/>
        <w:rPr>
          <w:rFonts w:ascii="Bookman Old Style" w:hAnsi="Bookman Old Style"/>
          <w:b/>
          <w:bCs/>
        </w:rPr>
      </w:pPr>
    </w:p>
    <w:p w14:paraId="16349626" w14:textId="77777777" w:rsidR="00182ACA" w:rsidRPr="002F54D0" w:rsidRDefault="00182ACA" w:rsidP="00182ACA">
      <w:pPr>
        <w:rPr>
          <w:rFonts w:ascii="Bookman Old Style" w:hAnsi="Bookman Old Style"/>
        </w:rPr>
      </w:pPr>
    </w:p>
    <w:p w14:paraId="4F367360" w14:textId="77777777" w:rsidR="00182ACA" w:rsidRPr="002F54D0" w:rsidRDefault="00182ACA" w:rsidP="00175367">
      <w:pPr>
        <w:autoSpaceDE w:val="0"/>
        <w:autoSpaceDN w:val="0"/>
        <w:adjustRightInd w:val="0"/>
        <w:spacing w:after="0" w:line="240" w:lineRule="auto"/>
        <w:jc w:val="both"/>
        <w:rPr>
          <w:rFonts w:ascii="Bookman Old Style" w:hAnsi="Bookman Old Style"/>
          <w:b/>
          <w:bCs/>
        </w:rPr>
      </w:pPr>
    </w:p>
    <w:sectPr w:rsidR="00182ACA" w:rsidRPr="002F54D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57AA" w14:textId="77777777" w:rsidR="007817EE" w:rsidRDefault="007817EE" w:rsidP="00634624">
      <w:pPr>
        <w:spacing w:after="0" w:line="240" w:lineRule="auto"/>
      </w:pPr>
      <w:r>
        <w:separator/>
      </w:r>
    </w:p>
  </w:endnote>
  <w:endnote w:type="continuationSeparator" w:id="0">
    <w:p w14:paraId="7949DC0C" w14:textId="77777777" w:rsidR="007817EE" w:rsidRDefault="007817EE" w:rsidP="0063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IDFont+F2">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407480"/>
      <w:docPartObj>
        <w:docPartGallery w:val="Page Numbers (Bottom of Page)"/>
        <w:docPartUnique/>
      </w:docPartObj>
    </w:sdtPr>
    <w:sdtEndPr/>
    <w:sdtContent>
      <w:p w14:paraId="1F7FB070" w14:textId="49DAD390" w:rsidR="00634624" w:rsidRDefault="00634624">
        <w:pPr>
          <w:pStyle w:val="Pidipagina"/>
          <w:jc w:val="center"/>
        </w:pPr>
        <w:r>
          <w:fldChar w:fldCharType="begin"/>
        </w:r>
        <w:r>
          <w:instrText>PAGE   \* MERGEFORMAT</w:instrText>
        </w:r>
        <w:r>
          <w:fldChar w:fldCharType="separate"/>
        </w:r>
        <w:r>
          <w:t>2</w:t>
        </w:r>
        <w:r>
          <w:fldChar w:fldCharType="end"/>
        </w:r>
      </w:p>
    </w:sdtContent>
  </w:sdt>
  <w:p w14:paraId="1AE428DC" w14:textId="77777777" w:rsidR="00634624" w:rsidRDefault="006346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D9F8A" w14:textId="77777777" w:rsidR="007817EE" w:rsidRDefault="007817EE" w:rsidP="00634624">
      <w:pPr>
        <w:spacing w:after="0" w:line="240" w:lineRule="auto"/>
      </w:pPr>
      <w:r>
        <w:separator/>
      </w:r>
    </w:p>
  </w:footnote>
  <w:footnote w:type="continuationSeparator" w:id="0">
    <w:p w14:paraId="42DCF182" w14:textId="77777777" w:rsidR="007817EE" w:rsidRDefault="007817EE" w:rsidP="00634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360"/>
    <w:multiLevelType w:val="hybridMultilevel"/>
    <w:tmpl w:val="5E7E5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94C1C"/>
    <w:multiLevelType w:val="hybridMultilevel"/>
    <w:tmpl w:val="4A60B3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2165A6"/>
    <w:multiLevelType w:val="hybridMultilevel"/>
    <w:tmpl w:val="CE60CD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32FE8"/>
    <w:multiLevelType w:val="hybridMultilevel"/>
    <w:tmpl w:val="12ACD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DA3FB4"/>
    <w:multiLevelType w:val="hybridMultilevel"/>
    <w:tmpl w:val="3AB0D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F704A"/>
    <w:multiLevelType w:val="hybridMultilevel"/>
    <w:tmpl w:val="293090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B97FE7"/>
    <w:multiLevelType w:val="hybridMultilevel"/>
    <w:tmpl w:val="139EDC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865A0"/>
    <w:multiLevelType w:val="hybridMultilevel"/>
    <w:tmpl w:val="FA123E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5A7A6A"/>
    <w:multiLevelType w:val="hybridMultilevel"/>
    <w:tmpl w:val="EA766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011969"/>
    <w:multiLevelType w:val="hybridMultilevel"/>
    <w:tmpl w:val="EC4824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AB674D"/>
    <w:multiLevelType w:val="hybridMultilevel"/>
    <w:tmpl w:val="9FBA3D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9A4FAD"/>
    <w:multiLevelType w:val="hybridMultilevel"/>
    <w:tmpl w:val="C79A1A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D63CE1"/>
    <w:multiLevelType w:val="hybridMultilevel"/>
    <w:tmpl w:val="79C85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A1173B"/>
    <w:multiLevelType w:val="hybridMultilevel"/>
    <w:tmpl w:val="CAA4B1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251F20"/>
    <w:multiLevelType w:val="hybridMultilevel"/>
    <w:tmpl w:val="69B6F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0E4C32"/>
    <w:multiLevelType w:val="hybridMultilevel"/>
    <w:tmpl w:val="BD446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B1863"/>
    <w:multiLevelType w:val="hybridMultilevel"/>
    <w:tmpl w:val="84961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EC4210"/>
    <w:multiLevelType w:val="hybridMultilevel"/>
    <w:tmpl w:val="60946B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2A32BC"/>
    <w:multiLevelType w:val="hybridMultilevel"/>
    <w:tmpl w:val="319C75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F2C1F"/>
    <w:multiLevelType w:val="hybridMultilevel"/>
    <w:tmpl w:val="CE80AA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983D92"/>
    <w:multiLevelType w:val="hybridMultilevel"/>
    <w:tmpl w:val="A6860B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80508F"/>
    <w:multiLevelType w:val="hybridMultilevel"/>
    <w:tmpl w:val="95AC90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5319697">
    <w:abstractNumId w:val="16"/>
  </w:num>
  <w:num w:numId="2" w16cid:durableId="852496703">
    <w:abstractNumId w:val="10"/>
  </w:num>
  <w:num w:numId="3" w16cid:durableId="1253584189">
    <w:abstractNumId w:val="6"/>
  </w:num>
  <w:num w:numId="4" w16cid:durableId="1208761013">
    <w:abstractNumId w:val="21"/>
  </w:num>
  <w:num w:numId="5" w16cid:durableId="852572306">
    <w:abstractNumId w:val="17"/>
  </w:num>
  <w:num w:numId="6" w16cid:durableId="693386145">
    <w:abstractNumId w:val="15"/>
  </w:num>
  <w:num w:numId="7" w16cid:durableId="705984000">
    <w:abstractNumId w:val="4"/>
  </w:num>
  <w:num w:numId="8" w16cid:durableId="1953391340">
    <w:abstractNumId w:val="12"/>
  </w:num>
  <w:num w:numId="9" w16cid:durableId="1787120033">
    <w:abstractNumId w:val="18"/>
  </w:num>
  <w:num w:numId="10" w16cid:durableId="1549873363">
    <w:abstractNumId w:val="8"/>
  </w:num>
  <w:num w:numId="11" w16cid:durableId="1069154554">
    <w:abstractNumId w:val="3"/>
  </w:num>
  <w:num w:numId="12" w16cid:durableId="1556772704">
    <w:abstractNumId w:val="14"/>
  </w:num>
  <w:num w:numId="13" w16cid:durableId="1114594341">
    <w:abstractNumId w:val="11"/>
  </w:num>
  <w:num w:numId="14" w16cid:durableId="866060987">
    <w:abstractNumId w:val="13"/>
  </w:num>
  <w:num w:numId="15" w16cid:durableId="887306548">
    <w:abstractNumId w:val="7"/>
  </w:num>
  <w:num w:numId="16" w16cid:durableId="1098797792">
    <w:abstractNumId w:val="1"/>
  </w:num>
  <w:num w:numId="17" w16cid:durableId="661128314">
    <w:abstractNumId w:val="20"/>
  </w:num>
  <w:num w:numId="18" w16cid:durableId="1239174519">
    <w:abstractNumId w:val="2"/>
  </w:num>
  <w:num w:numId="19" w16cid:durableId="816261218">
    <w:abstractNumId w:val="0"/>
  </w:num>
  <w:num w:numId="20" w16cid:durableId="1600943290">
    <w:abstractNumId w:val="9"/>
  </w:num>
  <w:num w:numId="21" w16cid:durableId="864565561">
    <w:abstractNumId w:val="19"/>
  </w:num>
  <w:num w:numId="22" w16cid:durableId="2024092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movePersonalInformation/>
  <w:removeDateAndTime/>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C9"/>
    <w:rsid w:val="00017E28"/>
    <w:rsid w:val="00022634"/>
    <w:rsid w:val="00030F7B"/>
    <w:rsid w:val="000329B4"/>
    <w:rsid w:val="0004176B"/>
    <w:rsid w:val="000530B5"/>
    <w:rsid w:val="00062FF1"/>
    <w:rsid w:val="00064A10"/>
    <w:rsid w:val="00073255"/>
    <w:rsid w:val="00075DD1"/>
    <w:rsid w:val="00082736"/>
    <w:rsid w:val="000847AD"/>
    <w:rsid w:val="00097DDF"/>
    <w:rsid w:val="000A7E65"/>
    <w:rsid w:val="000B45CA"/>
    <w:rsid w:val="000B47E1"/>
    <w:rsid w:val="000C6B5A"/>
    <w:rsid w:val="000E400D"/>
    <w:rsid w:val="000E6075"/>
    <w:rsid w:val="000F527A"/>
    <w:rsid w:val="00140B42"/>
    <w:rsid w:val="00160034"/>
    <w:rsid w:val="00164A12"/>
    <w:rsid w:val="00166632"/>
    <w:rsid w:val="00172295"/>
    <w:rsid w:val="00172D4A"/>
    <w:rsid w:val="00175367"/>
    <w:rsid w:val="00182ACA"/>
    <w:rsid w:val="00186346"/>
    <w:rsid w:val="001A588A"/>
    <w:rsid w:val="001A7891"/>
    <w:rsid w:val="001B2AE8"/>
    <w:rsid w:val="001C3B6E"/>
    <w:rsid w:val="001D46AF"/>
    <w:rsid w:val="001E095F"/>
    <w:rsid w:val="001E2A9A"/>
    <w:rsid w:val="001E5D48"/>
    <w:rsid w:val="001F027D"/>
    <w:rsid w:val="00203B12"/>
    <w:rsid w:val="00215ECD"/>
    <w:rsid w:val="002179CC"/>
    <w:rsid w:val="002228D9"/>
    <w:rsid w:val="00250E94"/>
    <w:rsid w:val="00261047"/>
    <w:rsid w:val="002657B1"/>
    <w:rsid w:val="00280C76"/>
    <w:rsid w:val="00282E15"/>
    <w:rsid w:val="00284765"/>
    <w:rsid w:val="002A56A8"/>
    <w:rsid w:val="002D5A97"/>
    <w:rsid w:val="002D5C2A"/>
    <w:rsid w:val="002E2D60"/>
    <w:rsid w:val="002F176A"/>
    <w:rsid w:val="002F1912"/>
    <w:rsid w:val="002F4C5A"/>
    <w:rsid w:val="002F54D0"/>
    <w:rsid w:val="003071D8"/>
    <w:rsid w:val="00310B76"/>
    <w:rsid w:val="00336D8F"/>
    <w:rsid w:val="00366EF1"/>
    <w:rsid w:val="00371370"/>
    <w:rsid w:val="003975C9"/>
    <w:rsid w:val="00397B0B"/>
    <w:rsid w:val="003A6ABD"/>
    <w:rsid w:val="003B0A2E"/>
    <w:rsid w:val="003C50A6"/>
    <w:rsid w:val="003D1A1E"/>
    <w:rsid w:val="003D21C5"/>
    <w:rsid w:val="003D23B4"/>
    <w:rsid w:val="003E03BC"/>
    <w:rsid w:val="003E1936"/>
    <w:rsid w:val="003E6DEE"/>
    <w:rsid w:val="00400B1F"/>
    <w:rsid w:val="00401603"/>
    <w:rsid w:val="00404151"/>
    <w:rsid w:val="00411E21"/>
    <w:rsid w:val="00420DEB"/>
    <w:rsid w:val="0043012F"/>
    <w:rsid w:val="0044157D"/>
    <w:rsid w:val="004459B8"/>
    <w:rsid w:val="0045335F"/>
    <w:rsid w:val="0046338A"/>
    <w:rsid w:val="00473485"/>
    <w:rsid w:val="00476CF7"/>
    <w:rsid w:val="00485DAA"/>
    <w:rsid w:val="004867A6"/>
    <w:rsid w:val="00486DCB"/>
    <w:rsid w:val="0049128F"/>
    <w:rsid w:val="00492A7F"/>
    <w:rsid w:val="004939D1"/>
    <w:rsid w:val="0049556B"/>
    <w:rsid w:val="004A064F"/>
    <w:rsid w:val="004A7C46"/>
    <w:rsid w:val="004D28AA"/>
    <w:rsid w:val="004D569C"/>
    <w:rsid w:val="004E0BE7"/>
    <w:rsid w:val="004F7047"/>
    <w:rsid w:val="00503A32"/>
    <w:rsid w:val="00511FA0"/>
    <w:rsid w:val="0051334E"/>
    <w:rsid w:val="00522577"/>
    <w:rsid w:val="00525173"/>
    <w:rsid w:val="005309D8"/>
    <w:rsid w:val="0053610B"/>
    <w:rsid w:val="00540F1F"/>
    <w:rsid w:val="00550BD8"/>
    <w:rsid w:val="00554C56"/>
    <w:rsid w:val="00555DD9"/>
    <w:rsid w:val="00556854"/>
    <w:rsid w:val="005643E0"/>
    <w:rsid w:val="005839C8"/>
    <w:rsid w:val="00592DC1"/>
    <w:rsid w:val="005968E5"/>
    <w:rsid w:val="005B26BA"/>
    <w:rsid w:val="005B5598"/>
    <w:rsid w:val="005C2206"/>
    <w:rsid w:val="005C7301"/>
    <w:rsid w:val="005D3CEA"/>
    <w:rsid w:val="005E4AAC"/>
    <w:rsid w:val="005E7BBC"/>
    <w:rsid w:val="00601319"/>
    <w:rsid w:val="00603125"/>
    <w:rsid w:val="0061022C"/>
    <w:rsid w:val="0061114C"/>
    <w:rsid w:val="00612A77"/>
    <w:rsid w:val="00621ACB"/>
    <w:rsid w:val="00623B78"/>
    <w:rsid w:val="00627E34"/>
    <w:rsid w:val="00634624"/>
    <w:rsid w:val="00635D7E"/>
    <w:rsid w:val="00640277"/>
    <w:rsid w:val="00645ADC"/>
    <w:rsid w:val="00661034"/>
    <w:rsid w:val="00661190"/>
    <w:rsid w:val="0066735B"/>
    <w:rsid w:val="00671FCB"/>
    <w:rsid w:val="0068375E"/>
    <w:rsid w:val="00684504"/>
    <w:rsid w:val="0069789F"/>
    <w:rsid w:val="006A0690"/>
    <w:rsid w:val="006A1458"/>
    <w:rsid w:val="006A5A3C"/>
    <w:rsid w:val="006D34DE"/>
    <w:rsid w:val="006D38C2"/>
    <w:rsid w:val="006D3C55"/>
    <w:rsid w:val="006E20B2"/>
    <w:rsid w:val="006E713C"/>
    <w:rsid w:val="006F7291"/>
    <w:rsid w:val="007136E5"/>
    <w:rsid w:val="00716A0A"/>
    <w:rsid w:val="007506C7"/>
    <w:rsid w:val="00756285"/>
    <w:rsid w:val="007636DA"/>
    <w:rsid w:val="007679B6"/>
    <w:rsid w:val="00772297"/>
    <w:rsid w:val="007817EE"/>
    <w:rsid w:val="007862EA"/>
    <w:rsid w:val="007928DD"/>
    <w:rsid w:val="00796833"/>
    <w:rsid w:val="007A199D"/>
    <w:rsid w:val="007A5D57"/>
    <w:rsid w:val="007C10F1"/>
    <w:rsid w:val="007D0FAB"/>
    <w:rsid w:val="007E23C0"/>
    <w:rsid w:val="007E3BC4"/>
    <w:rsid w:val="007E7FE6"/>
    <w:rsid w:val="007F26B4"/>
    <w:rsid w:val="008149C0"/>
    <w:rsid w:val="0083623B"/>
    <w:rsid w:val="0083785D"/>
    <w:rsid w:val="00840F50"/>
    <w:rsid w:val="008459F2"/>
    <w:rsid w:val="008527CB"/>
    <w:rsid w:val="008528D3"/>
    <w:rsid w:val="00866145"/>
    <w:rsid w:val="00871F8F"/>
    <w:rsid w:val="00886ABA"/>
    <w:rsid w:val="008901DF"/>
    <w:rsid w:val="00896157"/>
    <w:rsid w:val="008A027B"/>
    <w:rsid w:val="008A2A23"/>
    <w:rsid w:val="008A5556"/>
    <w:rsid w:val="008B2EC3"/>
    <w:rsid w:val="008B4821"/>
    <w:rsid w:val="008C3B83"/>
    <w:rsid w:val="008E4433"/>
    <w:rsid w:val="008F1A45"/>
    <w:rsid w:val="008F7D01"/>
    <w:rsid w:val="009029FC"/>
    <w:rsid w:val="009060F7"/>
    <w:rsid w:val="00912571"/>
    <w:rsid w:val="00926A1B"/>
    <w:rsid w:val="00926A2F"/>
    <w:rsid w:val="009272A3"/>
    <w:rsid w:val="00931B0F"/>
    <w:rsid w:val="009565B6"/>
    <w:rsid w:val="00965B25"/>
    <w:rsid w:val="009757EB"/>
    <w:rsid w:val="00976966"/>
    <w:rsid w:val="00986223"/>
    <w:rsid w:val="009912A0"/>
    <w:rsid w:val="009A013F"/>
    <w:rsid w:val="009A597C"/>
    <w:rsid w:val="009C4409"/>
    <w:rsid w:val="009D13EB"/>
    <w:rsid w:val="009D230B"/>
    <w:rsid w:val="009D4A00"/>
    <w:rsid w:val="009E3877"/>
    <w:rsid w:val="009E4C4D"/>
    <w:rsid w:val="009F4B30"/>
    <w:rsid w:val="00A0600E"/>
    <w:rsid w:val="00A06F13"/>
    <w:rsid w:val="00A13EB0"/>
    <w:rsid w:val="00A15DA2"/>
    <w:rsid w:val="00A27074"/>
    <w:rsid w:val="00A36918"/>
    <w:rsid w:val="00A52D6B"/>
    <w:rsid w:val="00A54737"/>
    <w:rsid w:val="00A61AA5"/>
    <w:rsid w:val="00A639BE"/>
    <w:rsid w:val="00A64808"/>
    <w:rsid w:val="00A73BF4"/>
    <w:rsid w:val="00A75BF9"/>
    <w:rsid w:val="00A766DA"/>
    <w:rsid w:val="00A80B11"/>
    <w:rsid w:val="00A83F98"/>
    <w:rsid w:val="00A87948"/>
    <w:rsid w:val="00A90A31"/>
    <w:rsid w:val="00A92C64"/>
    <w:rsid w:val="00A9430A"/>
    <w:rsid w:val="00A9738A"/>
    <w:rsid w:val="00AB7578"/>
    <w:rsid w:val="00AD7314"/>
    <w:rsid w:val="00AE1040"/>
    <w:rsid w:val="00AE7348"/>
    <w:rsid w:val="00B02A11"/>
    <w:rsid w:val="00B05FEC"/>
    <w:rsid w:val="00B165AA"/>
    <w:rsid w:val="00B469EC"/>
    <w:rsid w:val="00B52386"/>
    <w:rsid w:val="00B52ADA"/>
    <w:rsid w:val="00B53FA4"/>
    <w:rsid w:val="00B64899"/>
    <w:rsid w:val="00B74217"/>
    <w:rsid w:val="00B866C8"/>
    <w:rsid w:val="00B873C1"/>
    <w:rsid w:val="00B95C17"/>
    <w:rsid w:val="00B95D48"/>
    <w:rsid w:val="00B95D76"/>
    <w:rsid w:val="00B97B5A"/>
    <w:rsid w:val="00BA4C66"/>
    <w:rsid w:val="00BA515F"/>
    <w:rsid w:val="00BC64E9"/>
    <w:rsid w:val="00BD2285"/>
    <w:rsid w:val="00BD3F4C"/>
    <w:rsid w:val="00C04B5A"/>
    <w:rsid w:val="00C31AE0"/>
    <w:rsid w:val="00C36BD5"/>
    <w:rsid w:val="00C4473E"/>
    <w:rsid w:val="00C47F68"/>
    <w:rsid w:val="00C539F8"/>
    <w:rsid w:val="00C56C0A"/>
    <w:rsid w:val="00C93D83"/>
    <w:rsid w:val="00C95397"/>
    <w:rsid w:val="00CA3E23"/>
    <w:rsid w:val="00CC068E"/>
    <w:rsid w:val="00CC1BD7"/>
    <w:rsid w:val="00CE0312"/>
    <w:rsid w:val="00CE1D1F"/>
    <w:rsid w:val="00CE5242"/>
    <w:rsid w:val="00CF2D94"/>
    <w:rsid w:val="00D000D1"/>
    <w:rsid w:val="00D10CAF"/>
    <w:rsid w:val="00D138CD"/>
    <w:rsid w:val="00D2010D"/>
    <w:rsid w:val="00D211E4"/>
    <w:rsid w:val="00D24EAE"/>
    <w:rsid w:val="00D2703F"/>
    <w:rsid w:val="00D30115"/>
    <w:rsid w:val="00D32811"/>
    <w:rsid w:val="00D41FC1"/>
    <w:rsid w:val="00D54122"/>
    <w:rsid w:val="00D57C39"/>
    <w:rsid w:val="00D6226E"/>
    <w:rsid w:val="00D6523C"/>
    <w:rsid w:val="00D65D61"/>
    <w:rsid w:val="00D83B57"/>
    <w:rsid w:val="00D904B5"/>
    <w:rsid w:val="00DA63D2"/>
    <w:rsid w:val="00DA69EE"/>
    <w:rsid w:val="00DC0D01"/>
    <w:rsid w:val="00DC178A"/>
    <w:rsid w:val="00DC764E"/>
    <w:rsid w:val="00DD3B51"/>
    <w:rsid w:val="00DE276D"/>
    <w:rsid w:val="00DF3C8E"/>
    <w:rsid w:val="00DF53DC"/>
    <w:rsid w:val="00E014D8"/>
    <w:rsid w:val="00E06BC2"/>
    <w:rsid w:val="00E06F25"/>
    <w:rsid w:val="00E1680B"/>
    <w:rsid w:val="00E24437"/>
    <w:rsid w:val="00E35E11"/>
    <w:rsid w:val="00E36880"/>
    <w:rsid w:val="00E40C8D"/>
    <w:rsid w:val="00E52CB6"/>
    <w:rsid w:val="00E56C67"/>
    <w:rsid w:val="00E60896"/>
    <w:rsid w:val="00E720FE"/>
    <w:rsid w:val="00E725BA"/>
    <w:rsid w:val="00E7638C"/>
    <w:rsid w:val="00E858E6"/>
    <w:rsid w:val="00EB0B95"/>
    <w:rsid w:val="00EB54D0"/>
    <w:rsid w:val="00EB793B"/>
    <w:rsid w:val="00EC7FD4"/>
    <w:rsid w:val="00ED2D54"/>
    <w:rsid w:val="00ED4249"/>
    <w:rsid w:val="00ED5F7D"/>
    <w:rsid w:val="00F020E4"/>
    <w:rsid w:val="00F11D80"/>
    <w:rsid w:val="00F14A5B"/>
    <w:rsid w:val="00F211B5"/>
    <w:rsid w:val="00F25BAF"/>
    <w:rsid w:val="00F26F8A"/>
    <w:rsid w:val="00F27729"/>
    <w:rsid w:val="00F326F4"/>
    <w:rsid w:val="00F32B1C"/>
    <w:rsid w:val="00F32BC5"/>
    <w:rsid w:val="00F37FD4"/>
    <w:rsid w:val="00F45F32"/>
    <w:rsid w:val="00F4752E"/>
    <w:rsid w:val="00F525DB"/>
    <w:rsid w:val="00F5370F"/>
    <w:rsid w:val="00F8651F"/>
    <w:rsid w:val="00F94A44"/>
    <w:rsid w:val="00F94E4D"/>
    <w:rsid w:val="00F96F11"/>
    <w:rsid w:val="00FA40DD"/>
    <w:rsid w:val="00FB19F2"/>
    <w:rsid w:val="00FC6020"/>
    <w:rsid w:val="00FF430D"/>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7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9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75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75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75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75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75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75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75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75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975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75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75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75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75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75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75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75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75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75C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75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75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75C9"/>
    <w:rPr>
      <w:i/>
      <w:iCs/>
      <w:color w:val="404040" w:themeColor="text1" w:themeTint="BF"/>
    </w:rPr>
  </w:style>
  <w:style w:type="paragraph" w:styleId="Paragrafoelenco">
    <w:name w:val="List Paragraph"/>
    <w:basedOn w:val="Normale"/>
    <w:uiPriority w:val="34"/>
    <w:qFormat/>
    <w:rsid w:val="003975C9"/>
    <w:pPr>
      <w:ind w:left="720"/>
      <w:contextualSpacing/>
    </w:pPr>
  </w:style>
  <w:style w:type="character" w:styleId="Enfasiintensa">
    <w:name w:val="Intense Emphasis"/>
    <w:basedOn w:val="Carpredefinitoparagrafo"/>
    <w:uiPriority w:val="21"/>
    <w:qFormat/>
    <w:rsid w:val="003975C9"/>
    <w:rPr>
      <w:i/>
      <w:iCs/>
      <w:color w:val="0F4761" w:themeColor="accent1" w:themeShade="BF"/>
    </w:rPr>
  </w:style>
  <w:style w:type="paragraph" w:styleId="Citazioneintensa">
    <w:name w:val="Intense Quote"/>
    <w:basedOn w:val="Normale"/>
    <w:next w:val="Normale"/>
    <w:link w:val="CitazioneintensaCarattere"/>
    <w:uiPriority w:val="30"/>
    <w:qFormat/>
    <w:rsid w:val="0039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75C9"/>
    <w:rPr>
      <w:i/>
      <w:iCs/>
      <w:color w:val="0F4761" w:themeColor="accent1" w:themeShade="BF"/>
    </w:rPr>
  </w:style>
  <w:style w:type="character" w:styleId="Riferimentointenso">
    <w:name w:val="Intense Reference"/>
    <w:basedOn w:val="Carpredefinitoparagrafo"/>
    <w:uiPriority w:val="32"/>
    <w:qFormat/>
    <w:rsid w:val="003975C9"/>
    <w:rPr>
      <w:b/>
      <w:bCs/>
      <w:smallCaps/>
      <w:color w:val="0F4761" w:themeColor="accent1" w:themeShade="BF"/>
      <w:spacing w:val="5"/>
    </w:rPr>
  </w:style>
  <w:style w:type="paragraph" w:styleId="Titolosommario">
    <w:name w:val="TOC Heading"/>
    <w:basedOn w:val="Titolo1"/>
    <w:next w:val="Normale"/>
    <w:uiPriority w:val="39"/>
    <w:unhideWhenUsed/>
    <w:qFormat/>
    <w:rsid w:val="00684504"/>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684504"/>
    <w:pPr>
      <w:spacing w:after="100"/>
      <w:ind w:left="220"/>
    </w:pPr>
  </w:style>
  <w:style w:type="character" w:styleId="Collegamentoipertestuale">
    <w:name w:val="Hyperlink"/>
    <w:basedOn w:val="Carpredefinitoparagrafo"/>
    <w:uiPriority w:val="99"/>
    <w:unhideWhenUsed/>
    <w:rsid w:val="00684504"/>
    <w:rPr>
      <w:color w:val="467886" w:themeColor="hyperlink"/>
      <w:u w:val="single"/>
    </w:rPr>
  </w:style>
  <w:style w:type="paragraph" w:styleId="Intestazione">
    <w:name w:val="header"/>
    <w:basedOn w:val="Normale"/>
    <w:link w:val="IntestazioneCarattere"/>
    <w:uiPriority w:val="99"/>
    <w:unhideWhenUsed/>
    <w:rsid w:val="006346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624"/>
  </w:style>
  <w:style w:type="paragraph" w:styleId="Pidipagina">
    <w:name w:val="footer"/>
    <w:basedOn w:val="Normale"/>
    <w:link w:val="PidipaginaCarattere"/>
    <w:uiPriority w:val="99"/>
    <w:unhideWhenUsed/>
    <w:rsid w:val="006346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624"/>
  </w:style>
  <w:style w:type="paragraph" w:styleId="Sommario1">
    <w:name w:val="toc 1"/>
    <w:basedOn w:val="Normale"/>
    <w:next w:val="Normale"/>
    <w:autoRedefine/>
    <w:uiPriority w:val="39"/>
    <w:unhideWhenUsed/>
    <w:rsid w:val="00097DDF"/>
    <w:pPr>
      <w:spacing w:after="100"/>
    </w:pPr>
  </w:style>
  <w:style w:type="paragraph" w:styleId="Revisione">
    <w:name w:val="Revision"/>
    <w:hidden/>
    <w:uiPriority w:val="99"/>
    <w:semiHidden/>
    <w:rsid w:val="00476CF7"/>
    <w:pPr>
      <w:spacing w:after="0" w:line="240" w:lineRule="auto"/>
    </w:pPr>
  </w:style>
  <w:style w:type="character" w:styleId="Rimandocommento">
    <w:name w:val="annotation reference"/>
    <w:basedOn w:val="Carpredefinitoparagrafo"/>
    <w:uiPriority w:val="99"/>
    <w:semiHidden/>
    <w:unhideWhenUsed/>
    <w:rsid w:val="00284765"/>
    <w:rPr>
      <w:sz w:val="16"/>
      <w:szCs w:val="16"/>
    </w:rPr>
  </w:style>
  <w:style w:type="paragraph" w:styleId="Testocommento">
    <w:name w:val="annotation text"/>
    <w:basedOn w:val="Normale"/>
    <w:link w:val="TestocommentoCarattere"/>
    <w:uiPriority w:val="99"/>
    <w:unhideWhenUsed/>
    <w:rsid w:val="002847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4765"/>
    <w:rPr>
      <w:sz w:val="20"/>
      <w:szCs w:val="20"/>
    </w:rPr>
  </w:style>
  <w:style w:type="paragraph" w:styleId="Soggettocommento">
    <w:name w:val="annotation subject"/>
    <w:basedOn w:val="Testocommento"/>
    <w:next w:val="Testocommento"/>
    <w:link w:val="SoggettocommentoCarattere"/>
    <w:uiPriority w:val="99"/>
    <w:semiHidden/>
    <w:unhideWhenUsed/>
    <w:rsid w:val="00284765"/>
    <w:rPr>
      <w:b/>
      <w:bCs/>
    </w:rPr>
  </w:style>
  <w:style w:type="character" w:customStyle="1" w:styleId="SoggettocommentoCarattere">
    <w:name w:val="Soggetto commento Carattere"/>
    <w:basedOn w:val="TestocommentoCarattere"/>
    <w:link w:val="Soggettocommento"/>
    <w:uiPriority w:val="99"/>
    <w:semiHidden/>
    <w:rsid w:val="00284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72823">
      <w:bodyDiv w:val="1"/>
      <w:marLeft w:val="0"/>
      <w:marRight w:val="0"/>
      <w:marTop w:val="0"/>
      <w:marBottom w:val="0"/>
      <w:divBdr>
        <w:top w:val="none" w:sz="0" w:space="0" w:color="auto"/>
        <w:left w:val="none" w:sz="0" w:space="0" w:color="auto"/>
        <w:bottom w:val="none" w:sz="0" w:space="0" w:color="auto"/>
        <w:right w:val="none" w:sz="0" w:space="0" w:color="auto"/>
      </w:divBdr>
    </w:div>
    <w:div w:id="897979890">
      <w:bodyDiv w:val="1"/>
      <w:marLeft w:val="0"/>
      <w:marRight w:val="0"/>
      <w:marTop w:val="0"/>
      <w:marBottom w:val="0"/>
      <w:divBdr>
        <w:top w:val="none" w:sz="0" w:space="0" w:color="auto"/>
        <w:left w:val="none" w:sz="0" w:space="0" w:color="auto"/>
        <w:bottom w:val="none" w:sz="0" w:space="0" w:color="auto"/>
        <w:right w:val="none" w:sz="0" w:space="0" w:color="auto"/>
      </w:divBdr>
    </w:div>
    <w:div w:id="984696831">
      <w:bodyDiv w:val="1"/>
      <w:marLeft w:val="0"/>
      <w:marRight w:val="0"/>
      <w:marTop w:val="0"/>
      <w:marBottom w:val="0"/>
      <w:divBdr>
        <w:top w:val="none" w:sz="0" w:space="0" w:color="auto"/>
        <w:left w:val="none" w:sz="0" w:space="0" w:color="auto"/>
        <w:bottom w:val="none" w:sz="0" w:space="0" w:color="auto"/>
        <w:right w:val="none" w:sz="0" w:space="0" w:color="auto"/>
      </w:divBdr>
    </w:div>
    <w:div w:id="1079138041">
      <w:bodyDiv w:val="1"/>
      <w:marLeft w:val="0"/>
      <w:marRight w:val="0"/>
      <w:marTop w:val="0"/>
      <w:marBottom w:val="0"/>
      <w:divBdr>
        <w:top w:val="none" w:sz="0" w:space="0" w:color="auto"/>
        <w:left w:val="none" w:sz="0" w:space="0" w:color="auto"/>
        <w:bottom w:val="none" w:sz="0" w:space="0" w:color="auto"/>
        <w:right w:val="none" w:sz="0" w:space="0" w:color="auto"/>
      </w:divBdr>
    </w:div>
    <w:div w:id="1568108851">
      <w:bodyDiv w:val="1"/>
      <w:marLeft w:val="0"/>
      <w:marRight w:val="0"/>
      <w:marTop w:val="0"/>
      <w:marBottom w:val="0"/>
      <w:divBdr>
        <w:top w:val="none" w:sz="0" w:space="0" w:color="auto"/>
        <w:left w:val="none" w:sz="0" w:space="0" w:color="auto"/>
        <w:bottom w:val="none" w:sz="0" w:space="0" w:color="auto"/>
        <w:right w:val="none" w:sz="0" w:space="0" w:color="auto"/>
      </w:divBdr>
    </w:div>
    <w:div w:id="17387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AF91-E13D-44F1-BF7C-7FD639FFEA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3479</Words>
  <Characters>19836</Characters>
  <Application>Microsoft Office Word</Application>
  <DocSecurity>0</DocSecurity>
  <Lines>165</Lines>
  <Paragraphs>46</Paragraphs>
  <ScaleCrop>false</ScaleCrop>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2024-12-18T20:24:00Z</dcterms:created>
  <dcterms:modified xsi:type="dcterms:W3CDTF">2024-12-18T20:24:00Z</dcterms:modified>
</cp:coreProperties>
</file>