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18CFB" w14:textId="77777777" w:rsidR="007E7FE6" w:rsidRPr="00521A02" w:rsidRDefault="007E7FE6" w:rsidP="00BC64E9">
      <w:pPr>
        <w:pStyle w:val="Paragrafoelenco"/>
        <w:autoSpaceDE w:val="0"/>
        <w:autoSpaceDN w:val="0"/>
        <w:adjustRightInd w:val="0"/>
        <w:spacing w:after="0" w:line="240" w:lineRule="auto"/>
        <w:rPr>
          <w:rFonts w:ascii="Bookman Old Style" w:hAnsi="Bookman Old Style" w:cs="CIDFont+F2"/>
          <w:b/>
          <w:bCs/>
          <w:kern w:val="0"/>
        </w:rPr>
      </w:pPr>
    </w:p>
    <w:p w14:paraId="5D38CE0D" w14:textId="523BF692" w:rsidR="007E7FE6" w:rsidRPr="00521A02" w:rsidRDefault="00F06D02" w:rsidP="00E4642D">
      <w:pPr>
        <w:pStyle w:val="Paragrafoelenco"/>
        <w:spacing w:after="0" w:line="240" w:lineRule="auto"/>
        <w:ind w:left="0"/>
        <w:rPr>
          <w:rFonts w:ascii="Bookman Old Style" w:hAnsi="Bookman Old Style"/>
          <w:b/>
          <w:kern w:val="0"/>
          <w14:ligatures w14:val="none"/>
        </w:rPr>
      </w:pPr>
      <w:r>
        <w:rPr>
          <w:b/>
          <w:noProof/>
          <w:sz w:val="24"/>
          <w:szCs w:val="24"/>
          <w:lang w:eastAsia="it-IT"/>
        </w:rPr>
        <w:drawing>
          <wp:inline distT="0" distB="0" distL="0" distR="0" wp14:anchorId="554E76BA" wp14:editId="46743861">
            <wp:extent cx="962025" cy="795130"/>
            <wp:effectExtent l="0" t="0" r="0" b="5080"/>
            <wp:docPr id="1" name="Immagine 1" descr="Immagine che contiene simbolo, Carattere, Blu elettrico, blu&#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simbolo, Carattere, Blu elettrico, blu&#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644" cy="822917"/>
                    </a:xfrm>
                    <a:prstGeom prst="rect">
                      <a:avLst/>
                    </a:prstGeom>
                    <a:noFill/>
                  </pic:spPr>
                </pic:pic>
              </a:graphicData>
            </a:graphic>
          </wp:inline>
        </w:drawing>
      </w:r>
      <w:r w:rsidR="00E4642D">
        <w:rPr>
          <w:rFonts w:ascii="Bookman Old Style" w:hAnsi="Bookman Old Style"/>
          <w:b/>
          <w:noProof/>
        </w:rPr>
        <w:tab/>
      </w:r>
      <w:r w:rsidR="00E4642D">
        <w:rPr>
          <w:rFonts w:ascii="Bookman Old Style" w:hAnsi="Bookman Old Style"/>
          <w:b/>
          <w:noProof/>
        </w:rPr>
        <w:tab/>
      </w:r>
      <w:r w:rsidR="00E4642D">
        <w:rPr>
          <w:rFonts w:ascii="Bookman Old Style" w:hAnsi="Bookman Old Style"/>
          <w:b/>
          <w:noProof/>
        </w:rPr>
        <w:tab/>
      </w:r>
      <w:r w:rsidR="00E4642D">
        <w:rPr>
          <w:rFonts w:ascii="Bookman Old Style" w:hAnsi="Bookman Old Style"/>
          <w:b/>
          <w:noProof/>
        </w:rPr>
        <w:tab/>
      </w:r>
      <w:r w:rsidR="00E4642D">
        <w:rPr>
          <w:rFonts w:ascii="Bookman Old Style" w:hAnsi="Bookman Old Style"/>
          <w:b/>
          <w:noProof/>
        </w:rPr>
        <w:tab/>
      </w:r>
      <w:r w:rsidR="00E4642D">
        <w:rPr>
          <w:rFonts w:ascii="Bookman Old Style" w:hAnsi="Bookman Old Style"/>
          <w:b/>
          <w:noProof/>
        </w:rPr>
        <w:tab/>
      </w:r>
      <w:r w:rsidR="00232F0E">
        <w:rPr>
          <w:rFonts w:ascii="Bookman Old Style" w:hAnsi="Bookman Old Style"/>
          <w:b/>
          <w:noProof/>
        </w:rPr>
        <w:t xml:space="preserve"> </w:t>
      </w:r>
      <w:r w:rsidR="00E4642D">
        <w:rPr>
          <w:rFonts w:ascii="Bookman Old Style" w:hAnsi="Bookman Old Style"/>
          <w:b/>
          <w:noProof/>
        </w:rPr>
        <w:tab/>
      </w:r>
      <w:r w:rsidR="00E4642D">
        <w:rPr>
          <w:rFonts w:ascii="Bookman Old Style" w:hAnsi="Bookman Old Style"/>
          <w:b/>
          <w:noProof/>
        </w:rPr>
        <w:tab/>
      </w:r>
      <w:r w:rsidR="00E4642D">
        <w:rPr>
          <w:rFonts w:ascii="Bookman Old Style" w:hAnsi="Bookman Old Style"/>
          <w:b/>
          <w:noProof/>
        </w:rPr>
        <w:tab/>
      </w:r>
      <w:r w:rsidR="00232F0E" w:rsidRPr="00F37083">
        <w:rPr>
          <w:rFonts w:ascii="Bookman Old Style" w:hAnsi="Bookman Old Style"/>
          <w:noProof/>
        </w:rPr>
        <w:drawing>
          <wp:inline distT="0" distB="0" distL="0" distR="0" wp14:anchorId="16B821CA" wp14:editId="30F50DB0">
            <wp:extent cx="619125" cy="923925"/>
            <wp:effectExtent l="0" t="0" r="9525" b="9525"/>
            <wp:docPr id="556762314" name="Picture 1"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descr="Immagine che contiene disegnando&#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923925"/>
                    </a:xfrm>
                    <a:prstGeom prst="rect">
                      <a:avLst/>
                    </a:prstGeom>
                    <a:noFill/>
                    <a:ln>
                      <a:noFill/>
                    </a:ln>
                  </pic:spPr>
                </pic:pic>
              </a:graphicData>
            </a:graphic>
          </wp:inline>
        </w:drawing>
      </w:r>
    </w:p>
    <w:p w14:paraId="6745C327" w14:textId="77777777" w:rsidR="007E7FE6" w:rsidRPr="00521A02" w:rsidRDefault="007E7FE6" w:rsidP="00BC64E9">
      <w:pPr>
        <w:pStyle w:val="Paragrafoelenco"/>
        <w:spacing w:after="0" w:line="240" w:lineRule="auto"/>
        <w:rPr>
          <w:rFonts w:ascii="Bookman Old Style" w:hAnsi="Bookman Old Style"/>
          <w:b/>
          <w:kern w:val="0"/>
          <w14:ligatures w14:val="none"/>
        </w:rPr>
      </w:pPr>
    </w:p>
    <w:p w14:paraId="7A5CA7B9" w14:textId="77777777" w:rsidR="007E7FE6" w:rsidRDefault="007E7FE6" w:rsidP="00BC64E9">
      <w:pPr>
        <w:pStyle w:val="Paragrafoelenco"/>
        <w:spacing w:after="0" w:line="240" w:lineRule="auto"/>
        <w:rPr>
          <w:rFonts w:ascii="Bookman Old Style" w:hAnsi="Bookman Old Style"/>
          <w:b/>
          <w:kern w:val="0"/>
          <w14:ligatures w14:val="none"/>
        </w:rPr>
      </w:pPr>
    </w:p>
    <w:p w14:paraId="117B650F" w14:textId="77777777" w:rsidR="00E4642D" w:rsidRDefault="00E4642D" w:rsidP="00BC64E9">
      <w:pPr>
        <w:pStyle w:val="Paragrafoelenco"/>
        <w:spacing w:after="0" w:line="240" w:lineRule="auto"/>
        <w:rPr>
          <w:rFonts w:ascii="Bookman Old Style" w:hAnsi="Bookman Old Style"/>
          <w:b/>
          <w:kern w:val="0"/>
          <w14:ligatures w14:val="none"/>
        </w:rPr>
      </w:pPr>
    </w:p>
    <w:p w14:paraId="6012BB02" w14:textId="77777777" w:rsidR="00E4642D" w:rsidRPr="00521A02" w:rsidRDefault="00E4642D" w:rsidP="00BC64E9">
      <w:pPr>
        <w:pStyle w:val="Paragrafoelenco"/>
        <w:spacing w:after="0" w:line="240" w:lineRule="auto"/>
        <w:rPr>
          <w:rFonts w:ascii="Bookman Old Style" w:hAnsi="Bookman Old Style"/>
          <w:b/>
          <w:kern w:val="0"/>
          <w14:ligatures w14:val="none"/>
        </w:rPr>
      </w:pPr>
    </w:p>
    <w:p w14:paraId="4F9B6E60" w14:textId="77777777" w:rsidR="007E7FE6" w:rsidRPr="00521A02" w:rsidRDefault="007E7FE6" w:rsidP="00BC64E9">
      <w:pPr>
        <w:pStyle w:val="Paragrafoelenco"/>
        <w:spacing w:after="0" w:line="240" w:lineRule="auto"/>
        <w:rPr>
          <w:rFonts w:ascii="Bookman Old Style" w:eastAsiaTheme="majorEastAsia" w:hAnsi="Bookman Old Style" w:cstheme="majorBidi"/>
          <w:b/>
          <w:bCs/>
          <w:color w:val="0F4761" w:themeColor="accent1" w:themeShade="BF"/>
        </w:rPr>
      </w:pPr>
    </w:p>
    <w:p w14:paraId="6B362A95" w14:textId="77777777" w:rsidR="00A30861" w:rsidRPr="00521A02" w:rsidRDefault="0046338A" w:rsidP="00BC64E9">
      <w:pPr>
        <w:pStyle w:val="Paragrafoelenco"/>
        <w:spacing w:after="0" w:line="240" w:lineRule="auto"/>
        <w:jc w:val="center"/>
        <w:rPr>
          <w:rFonts w:ascii="Bookman Old Style" w:eastAsiaTheme="majorEastAsia" w:hAnsi="Bookman Old Style" w:cstheme="majorBidi"/>
          <w:b/>
          <w:bCs/>
          <w:color w:val="0F4761" w:themeColor="accent1" w:themeShade="BF"/>
        </w:rPr>
      </w:pPr>
      <w:r w:rsidRPr="00521A02">
        <w:rPr>
          <w:rFonts w:ascii="Bookman Old Style" w:eastAsiaTheme="majorEastAsia" w:hAnsi="Bookman Old Style" w:cstheme="majorBidi"/>
          <w:b/>
          <w:bCs/>
          <w:color w:val="0F4761" w:themeColor="accent1" w:themeShade="BF"/>
        </w:rPr>
        <w:t xml:space="preserve">NOTA SINTETICA </w:t>
      </w:r>
      <w:r w:rsidR="00DB1169" w:rsidRPr="00521A02">
        <w:rPr>
          <w:rFonts w:ascii="Bookman Old Style" w:eastAsiaTheme="majorEastAsia" w:hAnsi="Bookman Old Style" w:cstheme="majorBidi"/>
          <w:b/>
          <w:bCs/>
          <w:color w:val="0F4761" w:themeColor="accent1" w:themeShade="BF"/>
        </w:rPr>
        <w:t>PRINCIPALI CONTENUTI</w:t>
      </w:r>
      <w:r w:rsidR="00A30861" w:rsidRPr="00521A02">
        <w:rPr>
          <w:rFonts w:ascii="Bookman Old Style" w:eastAsiaTheme="majorEastAsia" w:hAnsi="Bookman Old Style" w:cstheme="majorBidi"/>
          <w:b/>
          <w:bCs/>
          <w:color w:val="0F4761" w:themeColor="accent1" w:themeShade="BF"/>
        </w:rPr>
        <w:t xml:space="preserve"> </w:t>
      </w:r>
    </w:p>
    <w:p w14:paraId="18E6309E" w14:textId="715529EC" w:rsidR="007E7FE6" w:rsidRPr="00521A02" w:rsidRDefault="00A30861" w:rsidP="00BC64E9">
      <w:pPr>
        <w:pStyle w:val="Paragrafoelenco"/>
        <w:spacing w:after="0" w:line="240" w:lineRule="auto"/>
        <w:jc w:val="center"/>
        <w:rPr>
          <w:rFonts w:ascii="Bookman Old Style" w:eastAsiaTheme="majorEastAsia" w:hAnsi="Bookman Old Style" w:cstheme="majorBidi"/>
          <w:b/>
          <w:bCs/>
          <w:color w:val="0F4761" w:themeColor="accent1" w:themeShade="BF"/>
        </w:rPr>
      </w:pPr>
      <w:r w:rsidRPr="00521A02">
        <w:rPr>
          <w:rFonts w:ascii="Bookman Old Style" w:eastAsiaTheme="majorEastAsia" w:hAnsi="Bookman Old Style" w:cstheme="majorBidi"/>
          <w:b/>
          <w:bCs/>
          <w:color w:val="0F4761" w:themeColor="accent1" w:themeShade="BF"/>
        </w:rPr>
        <w:t>LEGGE DI BILANCIO 2025</w:t>
      </w:r>
    </w:p>
    <w:p w14:paraId="51E3EBC6" w14:textId="77777777" w:rsidR="007E7FE6" w:rsidRPr="00521A02" w:rsidRDefault="007E7FE6" w:rsidP="00BC64E9">
      <w:pPr>
        <w:pStyle w:val="Paragrafoelenco"/>
        <w:spacing w:after="0" w:line="240" w:lineRule="auto"/>
        <w:rPr>
          <w:rFonts w:ascii="Bookman Old Style" w:hAnsi="Bookman Old Style"/>
          <w:b/>
          <w:kern w:val="0"/>
          <w14:ligatures w14:val="none"/>
        </w:rPr>
      </w:pPr>
    </w:p>
    <w:p w14:paraId="2FD8E49F" w14:textId="77777777" w:rsidR="007E7FE6" w:rsidRPr="00521A02" w:rsidRDefault="007E7FE6" w:rsidP="00BC64E9">
      <w:pPr>
        <w:pStyle w:val="Paragrafoelenco"/>
        <w:spacing w:after="0" w:line="240" w:lineRule="auto"/>
        <w:jc w:val="both"/>
        <w:rPr>
          <w:rFonts w:ascii="Bookman Old Style" w:hAnsi="Bookman Old Style"/>
          <w:kern w:val="0"/>
          <w14:ligatures w14:val="none"/>
        </w:rPr>
      </w:pPr>
    </w:p>
    <w:p w14:paraId="487390E1" w14:textId="264BFC95" w:rsidR="00103D6D" w:rsidRPr="00521A02" w:rsidRDefault="00082736" w:rsidP="00BC64E9">
      <w:pPr>
        <w:spacing w:after="0" w:line="240" w:lineRule="auto"/>
        <w:jc w:val="both"/>
        <w:rPr>
          <w:rFonts w:ascii="Bookman Old Style" w:hAnsi="Bookman Old Style"/>
          <w:kern w:val="0"/>
          <w14:ligatures w14:val="none"/>
        </w:rPr>
      </w:pPr>
      <w:r w:rsidRPr="00521A02">
        <w:rPr>
          <w:rFonts w:ascii="Bookman Old Style" w:hAnsi="Bookman Old Style"/>
          <w:kern w:val="0"/>
          <w14:ligatures w14:val="none"/>
        </w:rPr>
        <w:t>Si riporta di seguito</w:t>
      </w:r>
      <w:r w:rsidR="003C50A6" w:rsidRPr="00521A02">
        <w:rPr>
          <w:rFonts w:ascii="Bookman Old Style" w:hAnsi="Bookman Old Style"/>
          <w:kern w:val="0"/>
          <w14:ligatures w14:val="none"/>
        </w:rPr>
        <w:t xml:space="preserve"> </w:t>
      </w:r>
      <w:r w:rsidR="003071D8" w:rsidRPr="00521A02">
        <w:rPr>
          <w:rFonts w:ascii="Bookman Old Style" w:hAnsi="Bookman Old Style"/>
          <w:kern w:val="0"/>
          <w14:ligatures w14:val="none"/>
        </w:rPr>
        <w:t xml:space="preserve">una </w:t>
      </w:r>
      <w:r w:rsidR="00492A7F" w:rsidRPr="00521A02">
        <w:rPr>
          <w:rFonts w:ascii="Bookman Old Style" w:hAnsi="Bookman Old Style"/>
          <w:kern w:val="0"/>
          <w14:ligatures w14:val="none"/>
        </w:rPr>
        <w:t xml:space="preserve">prima </w:t>
      </w:r>
      <w:r w:rsidR="005D3CEA" w:rsidRPr="00521A02">
        <w:rPr>
          <w:rFonts w:ascii="Bookman Old Style" w:hAnsi="Bookman Old Style"/>
          <w:kern w:val="0"/>
          <w14:ligatures w14:val="none"/>
        </w:rPr>
        <w:t xml:space="preserve">nota </w:t>
      </w:r>
      <w:r w:rsidR="003071D8" w:rsidRPr="00521A02">
        <w:rPr>
          <w:rFonts w:ascii="Bookman Old Style" w:hAnsi="Bookman Old Style"/>
          <w:kern w:val="0"/>
          <w14:ligatures w14:val="none"/>
        </w:rPr>
        <w:t>sinte</w:t>
      </w:r>
      <w:r w:rsidR="005D3CEA" w:rsidRPr="00521A02">
        <w:rPr>
          <w:rFonts w:ascii="Bookman Old Style" w:hAnsi="Bookman Old Style"/>
          <w:kern w:val="0"/>
          <w14:ligatures w14:val="none"/>
        </w:rPr>
        <w:t>tica sui contenuti delle</w:t>
      </w:r>
      <w:r w:rsidR="003C50A6" w:rsidRPr="00521A02">
        <w:rPr>
          <w:rFonts w:ascii="Bookman Old Style" w:hAnsi="Bookman Old Style"/>
          <w:kern w:val="0"/>
          <w14:ligatures w14:val="none"/>
        </w:rPr>
        <w:t xml:space="preserve"> norme più importanti per Comuni e Città </w:t>
      </w:r>
      <w:r w:rsidR="00E85789" w:rsidRPr="00521A02">
        <w:rPr>
          <w:rFonts w:ascii="Bookman Old Style" w:hAnsi="Bookman Old Style"/>
          <w:kern w:val="0"/>
          <w14:ligatures w14:val="none"/>
        </w:rPr>
        <w:t>M</w:t>
      </w:r>
      <w:r w:rsidR="003C50A6" w:rsidRPr="00521A02">
        <w:rPr>
          <w:rFonts w:ascii="Bookman Old Style" w:hAnsi="Bookman Old Style"/>
          <w:kern w:val="0"/>
          <w14:ligatures w14:val="none"/>
        </w:rPr>
        <w:t>etropolitane</w:t>
      </w:r>
      <w:r w:rsidR="00182ACA" w:rsidRPr="00521A02">
        <w:rPr>
          <w:rFonts w:ascii="Bookman Old Style" w:hAnsi="Bookman Old Style"/>
          <w:kern w:val="0"/>
          <w14:ligatures w14:val="none"/>
        </w:rPr>
        <w:t xml:space="preserve"> </w:t>
      </w:r>
      <w:r w:rsidR="00055A4F" w:rsidRPr="00521A02">
        <w:rPr>
          <w:rFonts w:ascii="Bookman Old Style" w:hAnsi="Bookman Old Style"/>
          <w:kern w:val="0"/>
          <w14:ligatures w14:val="none"/>
        </w:rPr>
        <w:t xml:space="preserve">contenute nella Legge di Bilancio 2025 </w:t>
      </w:r>
      <w:r w:rsidR="00103D6D" w:rsidRPr="00521A02">
        <w:rPr>
          <w:rFonts w:ascii="Bookman Old Style" w:hAnsi="Bookman Old Style"/>
          <w:kern w:val="0"/>
          <w14:ligatures w14:val="none"/>
        </w:rPr>
        <w:t>come approvata con voto di fiducia dalla Camera il 20 dicembre 2024.</w:t>
      </w:r>
    </w:p>
    <w:p w14:paraId="7451B128" w14:textId="77777777" w:rsidR="007E7FE6" w:rsidRPr="00521A02" w:rsidRDefault="007E7FE6" w:rsidP="00BC64E9">
      <w:pPr>
        <w:pStyle w:val="Paragrafoelenco"/>
        <w:autoSpaceDE w:val="0"/>
        <w:autoSpaceDN w:val="0"/>
        <w:adjustRightInd w:val="0"/>
        <w:spacing w:after="0" w:line="240" w:lineRule="auto"/>
        <w:rPr>
          <w:rFonts w:ascii="Bookman Old Style" w:hAnsi="Bookman Old Style" w:cs="CIDFont+F2"/>
          <w:b/>
          <w:bCs/>
          <w:kern w:val="0"/>
        </w:rPr>
      </w:pPr>
    </w:p>
    <w:sdt>
      <w:sdtPr>
        <w:rPr>
          <w:rFonts w:ascii="Bookman Old Style" w:eastAsiaTheme="minorHAnsi" w:hAnsi="Bookman Old Style" w:cstheme="minorBidi"/>
          <w:b/>
          <w:bCs/>
          <w:color w:val="auto"/>
          <w:kern w:val="2"/>
          <w:sz w:val="24"/>
          <w:szCs w:val="24"/>
          <w:lang w:eastAsia="en-US"/>
          <w14:ligatures w14:val="standardContextual"/>
        </w:rPr>
        <w:id w:val="1610852206"/>
        <w:docPartObj>
          <w:docPartGallery w:val="Table of Contents"/>
          <w:docPartUnique/>
        </w:docPartObj>
      </w:sdtPr>
      <w:sdtEndPr>
        <w:rPr>
          <w:sz w:val="22"/>
          <w:szCs w:val="22"/>
        </w:rPr>
      </w:sdtEndPr>
      <w:sdtContent>
        <w:p w14:paraId="507AD8DF" w14:textId="6D534EC6" w:rsidR="00684504" w:rsidRPr="00CC25CA" w:rsidRDefault="00684504" w:rsidP="00AB3BAF">
          <w:pPr>
            <w:pStyle w:val="Titolosommario"/>
            <w:spacing w:after="240"/>
            <w:jc w:val="center"/>
            <w:rPr>
              <w:rFonts w:ascii="Bookman Old Style" w:hAnsi="Bookman Old Style"/>
              <w:b/>
              <w:bCs/>
              <w:sz w:val="24"/>
              <w:szCs w:val="24"/>
            </w:rPr>
          </w:pPr>
          <w:r w:rsidRPr="00CC25CA">
            <w:rPr>
              <w:rFonts w:ascii="Bookman Old Style" w:hAnsi="Bookman Old Style"/>
              <w:b/>
              <w:bCs/>
              <w:sz w:val="24"/>
              <w:szCs w:val="24"/>
            </w:rPr>
            <w:t>Sommario</w:t>
          </w:r>
        </w:p>
        <w:p w14:paraId="5D062CEA" w14:textId="749719AC" w:rsidR="0072735C" w:rsidRPr="0072735C" w:rsidRDefault="00684504" w:rsidP="0072735C">
          <w:pPr>
            <w:pStyle w:val="Sommario1"/>
            <w:rPr>
              <w:rFonts w:asciiTheme="minorHAnsi" w:eastAsiaTheme="minorEastAsia" w:hAnsiTheme="minorHAnsi"/>
              <w:sz w:val="24"/>
              <w:szCs w:val="24"/>
              <w:lang w:eastAsia="it-IT"/>
            </w:rPr>
          </w:pPr>
          <w:r w:rsidRPr="00521A02">
            <w:fldChar w:fldCharType="begin"/>
          </w:r>
          <w:r w:rsidRPr="00521A02">
            <w:instrText xml:space="preserve"> TOC \o "1-3" \h \z \u </w:instrText>
          </w:r>
          <w:r w:rsidRPr="00521A02">
            <w:fldChar w:fldCharType="separate"/>
          </w:r>
          <w:hyperlink w:anchor="_Toc185605200" w:history="1">
            <w:r w:rsidR="0072735C" w:rsidRPr="0072735C">
              <w:rPr>
                <w:rStyle w:val="Collegamentoipertestuale"/>
              </w:rPr>
              <w:t>TAGLI E CONTROLLI SULLA FINANZA DEGLI ENTI LOCALI</w:t>
            </w:r>
            <w:r w:rsidR="0072735C" w:rsidRPr="0072735C">
              <w:rPr>
                <w:webHidden/>
              </w:rPr>
              <w:tab/>
            </w:r>
            <w:r w:rsidR="0072735C" w:rsidRPr="0072735C">
              <w:rPr>
                <w:webHidden/>
              </w:rPr>
              <w:fldChar w:fldCharType="begin"/>
            </w:r>
            <w:r w:rsidR="0072735C" w:rsidRPr="0072735C">
              <w:rPr>
                <w:webHidden/>
              </w:rPr>
              <w:instrText xml:space="preserve"> PAGEREF _Toc185605200 \h </w:instrText>
            </w:r>
            <w:r w:rsidR="0072735C" w:rsidRPr="0072735C">
              <w:rPr>
                <w:webHidden/>
              </w:rPr>
            </w:r>
            <w:r w:rsidR="0072735C" w:rsidRPr="0072735C">
              <w:rPr>
                <w:webHidden/>
              </w:rPr>
              <w:fldChar w:fldCharType="separate"/>
            </w:r>
            <w:r w:rsidR="0072735C" w:rsidRPr="0072735C">
              <w:rPr>
                <w:webHidden/>
              </w:rPr>
              <w:t>3</w:t>
            </w:r>
            <w:r w:rsidR="0072735C" w:rsidRPr="0072735C">
              <w:rPr>
                <w:webHidden/>
              </w:rPr>
              <w:fldChar w:fldCharType="end"/>
            </w:r>
          </w:hyperlink>
        </w:p>
        <w:p w14:paraId="50F5F89B" w14:textId="7D15C905"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01"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Le ulteriori restrizioni di parte corrente - Comuni</w:t>
            </w:r>
            <w:r w:rsidRPr="0072735C">
              <w:rPr>
                <w:noProof/>
                <w:webHidden/>
              </w:rPr>
              <w:tab/>
            </w:r>
            <w:r w:rsidRPr="0072735C">
              <w:rPr>
                <w:noProof/>
                <w:webHidden/>
              </w:rPr>
              <w:fldChar w:fldCharType="begin"/>
            </w:r>
            <w:r w:rsidRPr="0072735C">
              <w:rPr>
                <w:noProof/>
                <w:webHidden/>
              </w:rPr>
              <w:instrText xml:space="preserve"> PAGEREF _Toc185605201 \h </w:instrText>
            </w:r>
            <w:r w:rsidRPr="0072735C">
              <w:rPr>
                <w:noProof/>
                <w:webHidden/>
              </w:rPr>
            </w:r>
            <w:r w:rsidRPr="0072735C">
              <w:rPr>
                <w:noProof/>
                <w:webHidden/>
              </w:rPr>
              <w:fldChar w:fldCharType="separate"/>
            </w:r>
            <w:r w:rsidRPr="0072735C">
              <w:rPr>
                <w:noProof/>
                <w:webHidden/>
              </w:rPr>
              <w:t>3</w:t>
            </w:r>
            <w:r w:rsidRPr="0072735C">
              <w:rPr>
                <w:noProof/>
                <w:webHidden/>
              </w:rPr>
              <w:fldChar w:fldCharType="end"/>
            </w:r>
          </w:hyperlink>
        </w:p>
        <w:p w14:paraId="074F25DC" w14:textId="2515719B"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02"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Le ulteriori restrizioni di parte corrente – Città metropolitane</w:t>
            </w:r>
            <w:r w:rsidRPr="0072735C">
              <w:rPr>
                <w:noProof/>
                <w:webHidden/>
              </w:rPr>
              <w:tab/>
            </w:r>
            <w:r w:rsidRPr="0072735C">
              <w:rPr>
                <w:noProof/>
                <w:webHidden/>
              </w:rPr>
              <w:fldChar w:fldCharType="begin"/>
            </w:r>
            <w:r w:rsidRPr="0072735C">
              <w:rPr>
                <w:noProof/>
                <w:webHidden/>
              </w:rPr>
              <w:instrText xml:space="preserve"> PAGEREF _Toc185605202 \h </w:instrText>
            </w:r>
            <w:r w:rsidRPr="0072735C">
              <w:rPr>
                <w:noProof/>
                <w:webHidden/>
              </w:rPr>
            </w:r>
            <w:r w:rsidRPr="0072735C">
              <w:rPr>
                <w:noProof/>
                <w:webHidden/>
              </w:rPr>
              <w:fldChar w:fldCharType="separate"/>
            </w:r>
            <w:r w:rsidRPr="0072735C">
              <w:rPr>
                <w:noProof/>
                <w:webHidden/>
              </w:rPr>
              <w:t>3</w:t>
            </w:r>
            <w:r w:rsidRPr="0072735C">
              <w:rPr>
                <w:noProof/>
                <w:webHidden/>
              </w:rPr>
              <w:fldChar w:fldCharType="end"/>
            </w:r>
          </w:hyperlink>
        </w:p>
        <w:p w14:paraId="026C0A58" w14:textId="609FBB5B"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03"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Modifiche al saldo di bilancio e strumenti controllo</w:t>
            </w:r>
            <w:r w:rsidRPr="0072735C">
              <w:rPr>
                <w:noProof/>
                <w:webHidden/>
              </w:rPr>
              <w:tab/>
            </w:r>
            <w:r w:rsidRPr="0072735C">
              <w:rPr>
                <w:noProof/>
                <w:webHidden/>
              </w:rPr>
              <w:fldChar w:fldCharType="begin"/>
            </w:r>
            <w:r w:rsidRPr="0072735C">
              <w:rPr>
                <w:noProof/>
                <w:webHidden/>
              </w:rPr>
              <w:instrText xml:space="preserve"> PAGEREF _Toc185605203 \h </w:instrText>
            </w:r>
            <w:r w:rsidRPr="0072735C">
              <w:rPr>
                <w:noProof/>
                <w:webHidden/>
              </w:rPr>
            </w:r>
            <w:r w:rsidRPr="0072735C">
              <w:rPr>
                <w:noProof/>
                <w:webHidden/>
              </w:rPr>
              <w:fldChar w:fldCharType="separate"/>
            </w:r>
            <w:r w:rsidRPr="0072735C">
              <w:rPr>
                <w:noProof/>
                <w:webHidden/>
              </w:rPr>
              <w:t>3</w:t>
            </w:r>
            <w:r w:rsidRPr="0072735C">
              <w:rPr>
                <w:noProof/>
                <w:webHidden/>
              </w:rPr>
              <w:fldChar w:fldCharType="end"/>
            </w:r>
          </w:hyperlink>
        </w:p>
        <w:p w14:paraId="05D585E6" w14:textId="1532CDC9" w:rsidR="0072735C" w:rsidRPr="0072735C" w:rsidRDefault="0072735C" w:rsidP="0072735C">
          <w:pPr>
            <w:pStyle w:val="Sommario1"/>
            <w:rPr>
              <w:rFonts w:asciiTheme="minorHAnsi" w:eastAsiaTheme="minorEastAsia" w:hAnsiTheme="minorHAnsi"/>
              <w:sz w:val="24"/>
              <w:szCs w:val="24"/>
              <w:lang w:eastAsia="it-IT"/>
            </w:rPr>
          </w:pPr>
          <w:hyperlink w:anchor="_Toc185605204" w:history="1">
            <w:r w:rsidRPr="0072735C">
              <w:rPr>
                <w:rStyle w:val="Collegamentoipertestuale"/>
              </w:rPr>
              <w:t>CONTRIBUTI DI PARTE CORRENTE</w:t>
            </w:r>
            <w:r w:rsidRPr="0072735C">
              <w:rPr>
                <w:webHidden/>
              </w:rPr>
              <w:tab/>
            </w:r>
            <w:r w:rsidRPr="0072735C">
              <w:rPr>
                <w:webHidden/>
              </w:rPr>
              <w:fldChar w:fldCharType="begin"/>
            </w:r>
            <w:r w:rsidRPr="0072735C">
              <w:rPr>
                <w:webHidden/>
              </w:rPr>
              <w:instrText xml:space="preserve"> PAGEREF _Toc185605204 \h </w:instrText>
            </w:r>
            <w:r w:rsidRPr="0072735C">
              <w:rPr>
                <w:webHidden/>
              </w:rPr>
            </w:r>
            <w:r w:rsidRPr="0072735C">
              <w:rPr>
                <w:webHidden/>
              </w:rPr>
              <w:fldChar w:fldCharType="separate"/>
            </w:r>
            <w:r w:rsidRPr="0072735C">
              <w:rPr>
                <w:webHidden/>
              </w:rPr>
              <w:t>4</w:t>
            </w:r>
            <w:r w:rsidRPr="0072735C">
              <w:rPr>
                <w:webHidden/>
              </w:rPr>
              <w:fldChar w:fldCharType="end"/>
            </w:r>
          </w:hyperlink>
        </w:p>
        <w:p w14:paraId="6B7E774F" w14:textId="28F4418F"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05"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Fondo affidamento minori</w:t>
            </w:r>
            <w:r w:rsidRPr="0072735C">
              <w:rPr>
                <w:noProof/>
                <w:webHidden/>
              </w:rPr>
              <w:tab/>
            </w:r>
            <w:r w:rsidRPr="0072735C">
              <w:rPr>
                <w:noProof/>
                <w:webHidden/>
              </w:rPr>
              <w:fldChar w:fldCharType="begin"/>
            </w:r>
            <w:r w:rsidRPr="0072735C">
              <w:rPr>
                <w:noProof/>
                <w:webHidden/>
              </w:rPr>
              <w:instrText xml:space="preserve"> PAGEREF _Toc185605205 \h </w:instrText>
            </w:r>
            <w:r w:rsidRPr="0072735C">
              <w:rPr>
                <w:noProof/>
                <w:webHidden/>
              </w:rPr>
            </w:r>
            <w:r w:rsidRPr="0072735C">
              <w:rPr>
                <w:noProof/>
                <w:webHidden/>
              </w:rPr>
              <w:fldChar w:fldCharType="separate"/>
            </w:r>
            <w:r w:rsidRPr="0072735C">
              <w:rPr>
                <w:noProof/>
                <w:webHidden/>
              </w:rPr>
              <w:t>4</w:t>
            </w:r>
            <w:r w:rsidRPr="0072735C">
              <w:rPr>
                <w:noProof/>
                <w:webHidden/>
              </w:rPr>
              <w:fldChar w:fldCharType="end"/>
            </w:r>
          </w:hyperlink>
        </w:p>
        <w:p w14:paraId="6DB40FB7" w14:textId="74963EF5"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06"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Incremento Fondo di solidarietà comunale</w:t>
            </w:r>
            <w:r w:rsidRPr="0072735C">
              <w:rPr>
                <w:noProof/>
                <w:webHidden/>
              </w:rPr>
              <w:tab/>
            </w:r>
            <w:r w:rsidRPr="0072735C">
              <w:rPr>
                <w:noProof/>
                <w:webHidden/>
              </w:rPr>
              <w:fldChar w:fldCharType="begin"/>
            </w:r>
            <w:r w:rsidRPr="0072735C">
              <w:rPr>
                <w:noProof/>
                <w:webHidden/>
              </w:rPr>
              <w:instrText xml:space="preserve"> PAGEREF _Toc185605206 \h </w:instrText>
            </w:r>
            <w:r w:rsidRPr="0072735C">
              <w:rPr>
                <w:noProof/>
                <w:webHidden/>
              </w:rPr>
            </w:r>
            <w:r w:rsidRPr="0072735C">
              <w:rPr>
                <w:noProof/>
                <w:webHidden/>
              </w:rPr>
              <w:fldChar w:fldCharType="separate"/>
            </w:r>
            <w:r w:rsidRPr="0072735C">
              <w:rPr>
                <w:noProof/>
                <w:webHidden/>
              </w:rPr>
              <w:t>5</w:t>
            </w:r>
            <w:r w:rsidRPr="0072735C">
              <w:rPr>
                <w:noProof/>
                <w:webHidden/>
              </w:rPr>
              <w:fldChar w:fldCharType="end"/>
            </w:r>
          </w:hyperlink>
        </w:p>
        <w:p w14:paraId="2FCBE47B" w14:textId="550FBB1A"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07"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Incremento Fondo sperimentale di riequilibrio</w:t>
            </w:r>
            <w:r w:rsidRPr="0072735C">
              <w:rPr>
                <w:noProof/>
                <w:webHidden/>
              </w:rPr>
              <w:tab/>
            </w:r>
            <w:r w:rsidRPr="0072735C">
              <w:rPr>
                <w:noProof/>
                <w:webHidden/>
              </w:rPr>
              <w:fldChar w:fldCharType="begin"/>
            </w:r>
            <w:r w:rsidRPr="0072735C">
              <w:rPr>
                <w:noProof/>
                <w:webHidden/>
              </w:rPr>
              <w:instrText xml:space="preserve"> PAGEREF _Toc185605207 \h </w:instrText>
            </w:r>
            <w:r w:rsidRPr="0072735C">
              <w:rPr>
                <w:noProof/>
                <w:webHidden/>
              </w:rPr>
            </w:r>
            <w:r w:rsidRPr="0072735C">
              <w:rPr>
                <w:noProof/>
                <w:webHidden/>
              </w:rPr>
              <w:fldChar w:fldCharType="separate"/>
            </w:r>
            <w:r w:rsidRPr="0072735C">
              <w:rPr>
                <w:noProof/>
                <w:webHidden/>
              </w:rPr>
              <w:t>5</w:t>
            </w:r>
            <w:r w:rsidRPr="0072735C">
              <w:rPr>
                <w:noProof/>
                <w:webHidden/>
              </w:rPr>
              <w:fldChar w:fldCharType="end"/>
            </w:r>
          </w:hyperlink>
        </w:p>
        <w:p w14:paraId="3C09060B" w14:textId="49CFC938"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08"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Incremento Fondo TPL</w:t>
            </w:r>
            <w:r w:rsidRPr="0072735C">
              <w:rPr>
                <w:noProof/>
                <w:webHidden/>
              </w:rPr>
              <w:tab/>
            </w:r>
            <w:r w:rsidRPr="0072735C">
              <w:rPr>
                <w:noProof/>
                <w:webHidden/>
              </w:rPr>
              <w:fldChar w:fldCharType="begin"/>
            </w:r>
            <w:r w:rsidRPr="0072735C">
              <w:rPr>
                <w:noProof/>
                <w:webHidden/>
              </w:rPr>
              <w:instrText xml:space="preserve"> PAGEREF _Toc185605208 \h </w:instrText>
            </w:r>
            <w:r w:rsidRPr="0072735C">
              <w:rPr>
                <w:noProof/>
                <w:webHidden/>
              </w:rPr>
            </w:r>
            <w:r w:rsidRPr="0072735C">
              <w:rPr>
                <w:noProof/>
                <w:webHidden/>
              </w:rPr>
              <w:fldChar w:fldCharType="separate"/>
            </w:r>
            <w:r w:rsidRPr="0072735C">
              <w:rPr>
                <w:noProof/>
                <w:webHidden/>
              </w:rPr>
              <w:t>5</w:t>
            </w:r>
            <w:r w:rsidRPr="0072735C">
              <w:rPr>
                <w:noProof/>
                <w:webHidden/>
              </w:rPr>
              <w:fldChar w:fldCharType="end"/>
            </w:r>
          </w:hyperlink>
        </w:p>
        <w:p w14:paraId="4139B926" w14:textId="667D2AE0" w:rsidR="0072735C" w:rsidRPr="0072735C" w:rsidRDefault="0072735C" w:rsidP="0072735C">
          <w:pPr>
            <w:pStyle w:val="Sommario1"/>
            <w:rPr>
              <w:rFonts w:asciiTheme="minorHAnsi" w:eastAsiaTheme="minorEastAsia" w:hAnsiTheme="minorHAnsi"/>
              <w:sz w:val="24"/>
              <w:szCs w:val="24"/>
              <w:lang w:eastAsia="it-IT"/>
            </w:rPr>
          </w:pPr>
          <w:hyperlink w:anchor="_Toc185605209" w:history="1">
            <w:r w:rsidRPr="0072735C">
              <w:rPr>
                <w:rStyle w:val="Collegamentoipertestuale"/>
              </w:rPr>
              <w:t>RIDUZIONI DEI CONTRIBUTI STATALI AGLI INVESTIMENTI LOCALI</w:t>
            </w:r>
            <w:r w:rsidRPr="0072735C">
              <w:rPr>
                <w:webHidden/>
              </w:rPr>
              <w:tab/>
            </w:r>
            <w:r w:rsidRPr="0072735C">
              <w:rPr>
                <w:webHidden/>
              </w:rPr>
              <w:fldChar w:fldCharType="begin"/>
            </w:r>
            <w:r w:rsidRPr="0072735C">
              <w:rPr>
                <w:webHidden/>
              </w:rPr>
              <w:instrText xml:space="preserve"> PAGEREF _Toc185605209 \h </w:instrText>
            </w:r>
            <w:r w:rsidRPr="0072735C">
              <w:rPr>
                <w:webHidden/>
              </w:rPr>
            </w:r>
            <w:r w:rsidRPr="0072735C">
              <w:rPr>
                <w:webHidden/>
              </w:rPr>
              <w:fldChar w:fldCharType="separate"/>
            </w:r>
            <w:r w:rsidRPr="0072735C">
              <w:rPr>
                <w:webHidden/>
              </w:rPr>
              <w:t>5</w:t>
            </w:r>
            <w:r w:rsidRPr="0072735C">
              <w:rPr>
                <w:webHidden/>
              </w:rPr>
              <w:fldChar w:fldCharType="end"/>
            </w:r>
          </w:hyperlink>
        </w:p>
        <w:p w14:paraId="5E80C8E2" w14:textId="1D253ABA"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10"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Riduzioni di contributi ai Comuni</w:t>
            </w:r>
            <w:r w:rsidRPr="0072735C">
              <w:rPr>
                <w:noProof/>
                <w:webHidden/>
              </w:rPr>
              <w:tab/>
            </w:r>
            <w:r w:rsidRPr="0072735C">
              <w:rPr>
                <w:noProof/>
                <w:webHidden/>
              </w:rPr>
              <w:fldChar w:fldCharType="begin"/>
            </w:r>
            <w:r w:rsidRPr="0072735C">
              <w:rPr>
                <w:noProof/>
                <w:webHidden/>
              </w:rPr>
              <w:instrText xml:space="preserve"> PAGEREF _Toc185605210 \h </w:instrText>
            </w:r>
            <w:r w:rsidRPr="0072735C">
              <w:rPr>
                <w:noProof/>
                <w:webHidden/>
              </w:rPr>
            </w:r>
            <w:r w:rsidRPr="0072735C">
              <w:rPr>
                <w:noProof/>
                <w:webHidden/>
              </w:rPr>
              <w:fldChar w:fldCharType="separate"/>
            </w:r>
            <w:r w:rsidRPr="0072735C">
              <w:rPr>
                <w:noProof/>
                <w:webHidden/>
              </w:rPr>
              <w:t>5</w:t>
            </w:r>
            <w:r w:rsidRPr="0072735C">
              <w:rPr>
                <w:noProof/>
                <w:webHidden/>
              </w:rPr>
              <w:fldChar w:fldCharType="end"/>
            </w:r>
          </w:hyperlink>
        </w:p>
        <w:p w14:paraId="0DA77D64" w14:textId="27920E69"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11"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Riduzioni di contributi alle Città metropolitane e alle Province</w:t>
            </w:r>
            <w:r w:rsidRPr="0072735C">
              <w:rPr>
                <w:noProof/>
                <w:webHidden/>
              </w:rPr>
              <w:tab/>
            </w:r>
            <w:r w:rsidRPr="0072735C">
              <w:rPr>
                <w:noProof/>
                <w:webHidden/>
              </w:rPr>
              <w:fldChar w:fldCharType="begin"/>
            </w:r>
            <w:r w:rsidRPr="0072735C">
              <w:rPr>
                <w:noProof/>
                <w:webHidden/>
              </w:rPr>
              <w:instrText xml:space="preserve"> PAGEREF _Toc185605211 \h </w:instrText>
            </w:r>
            <w:r w:rsidRPr="0072735C">
              <w:rPr>
                <w:noProof/>
                <w:webHidden/>
              </w:rPr>
            </w:r>
            <w:r w:rsidRPr="0072735C">
              <w:rPr>
                <w:noProof/>
                <w:webHidden/>
              </w:rPr>
              <w:fldChar w:fldCharType="separate"/>
            </w:r>
            <w:r w:rsidRPr="0072735C">
              <w:rPr>
                <w:noProof/>
                <w:webHidden/>
              </w:rPr>
              <w:t>6</w:t>
            </w:r>
            <w:r w:rsidRPr="0072735C">
              <w:rPr>
                <w:noProof/>
                <w:webHidden/>
              </w:rPr>
              <w:fldChar w:fldCharType="end"/>
            </w:r>
          </w:hyperlink>
        </w:p>
        <w:p w14:paraId="6D821F65" w14:textId="56FE0838" w:rsidR="0072735C" w:rsidRPr="0072735C" w:rsidRDefault="0072735C" w:rsidP="0072735C">
          <w:pPr>
            <w:pStyle w:val="Sommario1"/>
            <w:rPr>
              <w:rFonts w:asciiTheme="minorHAnsi" w:eastAsiaTheme="minorEastAsia" w:hAnsiTheme="minorHAnsi"/>
              <w:sz w:val="24"/>
              <w:szCs w:val="24"/>
              <w:lang w:eastAsia="it-IT"/>
            </w:rPr>
          </w:pPr>
          <w:hyperlink w:anchor="_Toc185605212" w:history="1">
            <w:r w:rsidRPr="0072735C">
              <w:rPr>
                <w:rStyle w:val="Collegamentoipertestuale"/>
              </w:rPr>
              <w:t>PERSONALE</w:t>
            </w:r>
            <w:r w:rsidRPr="0072735C">
              <w:rPr>
                <w:webHidden/>
              </w:rPr>
              <w:tab/>
            </w:r>
            <w:r w:rsidRPr="0072735C">
              <w:rPr>
                <w:webHidden/>
              </w:rPr>
              <w:fldChar w:fldCharType="begin"/>
            </w:r>
            <w:r w:rsidRPr="0072735C">
              <w:rPr>
                <w:webHidden/>
              </w:rPr>
              <w:instrText xml:space="preserve"> PAGEREF _Toc185605212 \h </w:instrText>
            </w:r>
            <w:r w:rsidRPr="0072735C">
              <w:rPr>
                <w:webHidden/>
              </w:rPr>
            </w:r>
            <w:r w:rsidRPr="0072735C">
              <w:rPr>
                <w:webHidden/>
              </w:rPr>
              <w:fldChar w:fldCharType="separate"/>
            </w:r>
            <w:r w:rsidRPr="0072735C">
              <w:rPr>
                <w:webHidden/>
              </w:rPr>
              <w:t>6</w:t>
            </w:r>
            <w:r w:rsidRPr="0072735C">
              <w:rPr>
                <w:webHidden/>
              </w:rPr>
              <w:fldChar w:fldCharType="end"/>
            </w:r>
          </w:hyperlink>
        </w:p>
        <w:p w14:paraId="33FB5D21" w14:textId="24473E3D"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13"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Abrogazione riduzione del 25% del turn over (Art.1, commi 822-845)</w:t>
            </w:r>
            <w:r w:rsidRPr="0072735C">
              <w:rPr>
                <w:noProof/>
                <w:webHidden/>
              </w:rPr>
              <w:tab/>
            </w:r>
            <w:r w:rsidRPr="0072735C">
              <w:rPr>
                <w:noProof/>
                <w:webHidden/>
              </w:rPr>
              <w:fldChar w:fldCharType="begin"/>
            </w:r>
            <w:r w:rsidRPr="0072735C">
              <w:rPr>
                <w:noProof/>
                <w:webHidden/>
              </w:rPr>
              <w:instrText xml:space="preserve"> PAGEREF _Toc185605213 \h </w:instrText>
            </w:r>
            <w:r w:rsidRPr="0072735C">
              <w:rPr>
                <w:noProof/>
                <w:webHidden/>
              </w:rPr>
            </w:r>
            <w:r w:rsidRPr="0072735C">
              <w:rPr>
                <w:noProof/>
                <w:webHidden/>
              </w:rPr>
              <w:fldChar w:fldCharType="separate"/>
            </w:r>
            <w:r w:rsidRPr="0072735C">
              <w:rPr>
                <w:noProof/>
                <w:webHidden/>
              </w:rPr>
              <w:t>6</w:t>
            </w:r>
            <w:r w:rsidRPr="0072735C">
              <w:rPr>
                <w:noProof/>
                <w:webHidden/>
              </w:rPr>
              <w:fldChar w:fldCharType="end"/>
            </w:r>
          </w:hyperlink>
        </w:p>
        <w:p w14:paraId="4D308325" w14:textId="439F68DB"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14"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Welfare contrattuale (Art. 1, commi 124-127)</w:t>
            </w:r>
            <w:r w:rsidRPr="0072735C">
              <w:rPr>
                <w:noProof/>
                <w:webHidden/>
              </w:rPr>
              <w:tab/>
            </w:r>
            <w:r w:rsidRPr="0072735C">
              <w:rPr>
                <w:noProof/>
                <w:webHidden/>
              </w:rPr>
              <w:fldChar w:fldCharType="begin"/>
            </w:r>
            <w:r w:rsidRPr="0072735C">
              <w:rPr>
                <w:noProof/>
                <w:webHidden/>
              </w:rPr>
              <w:instrText xml:space="preserve"> PAGEREF _Toc185605214 \h </w:instrText>
            </w:r>
            <w:r w:rsidRPr="0072735C">
              <w:rPr>
                <w:noProof/>
                <w:webHidden/>
              </w:rPr>
            </w:r>
            <w:r w:rsidRPr="0072735C">
              <w:rPr>
                <w:noProof/>
                <w:webHidden/>
              </w:rPr>
              <w:fldChar w:fldCharType="separate"/>
            </w:r>
            <w:r w:rsidRPr="0072735C">
              <w:rPr>
                <w:noProof/>
                <w:webHidden/>
              </w:rPr>
              <w:t>6</w:t>
            </w:r>
            <w:r w:rsidRPr="0072735C">
              <w:rPr>
                <w:noProof/>
                <w:webHidden/>
              </w:rPr>
              <w:fldChar w:fldCharType="end"/>
            </w:r>
          </w:hyperlink>
        </w:p>
        <w:p w14:paraId="5923F935" w14:textId="120F58E9"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15"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Mobilità di personale (Art. 1, commi 124-127)</w:t>
            </w:r>
            <w:r w:rsidRPr="0072735C">
              <w:rPr>
                <w:noProof/>
                <w:webHidden/>
              </w:rPr>
              <w:tab/>
            </w:r>
            <w:r w:rsidRPr="0072735C">
              <w:rPr>
                <w:noProof/>
                <w:webHidden/>
              </w:rPr>
              <w:fldChar w:fldCharType="begin"/>
            </w:r>
            <w:r w:rsidRPr="0072735C">
              <w:rPr>
                <w:noProof/>
                <w:webHidden/>
              </w:rPr>
              <w:instrText xml:space="preserve"> PAGEREF _Toc185605215 \h </w:instrText>
            </w:r>
            <w:r w:rsidRPr="0072735C">
              <w:rPr>
                <w:noProof/>
                <w:webHidden/>
              </w:rPr>
            </w:r>
            <w:r w:rsidRPr="0072735C">
              <w:rPr>
                <w:noProof/>
                <w:webHidden/>
              </w:rPr>
              <w:fldChar w:fldCharType="separate"/>
            </w:r>
            <w:r w:rsidRPr="0072735C">
              <w:rPr>
                <w:noProof/>
                <w:webHidden/>
              </w:rPr>
              <w:t>6</w:t>
            </w:r>
            <w:r w:rsidRPr="0072735C">
              <w:rPr>
                <w:noProof/>
                <w:webHidden/>
              </w:rPr>
              <w:fldChar w:fldCharType="end"/>
            </w:r>
          </w:hyperlink>
        </w:p>
        <w:p w14:paraId="541C4D21" w14:textId="46FD2FF0" w:rsidR="0072735C" w:rsidRPr="0072735C" w:rsidRDefault="0072735C" w:rsidP="0072735C">
          <w:pPr>
            <w:pStyle w:val="Sommario1"/>
            <w:rPr>
              <w:rFonts w:asciiTheme="minorHAnsi" w:eastAsiaTheme="minorEastAsia" w:hAnsiTheme="minorHAnsi"/>
              <w:sz w:val="24"/>
              <w:szCs w:val="24"/>
              <w:lang w:eastAsia="it-IT"/>
            </w:rPr>
          </w:pPr>
          <w:hyperlink w:anchor="_Toc185605216" w:history="1">
            <w:r w:rsidRPr="0072735C">
              <w:rPr>
                <w:rStyle w:val="Collegamentoipertestuale"/>
              </w:rPr>
              <w:t>FINANZA LOCALE</w:t>
            </w:r>
            <w:r w:rsidRPr="0072735C">
              <w:rPr>
                <w:webHidden/>
              </w:rPr>
              <w:tab/>
            </w:r>
            <w:r w:rsidRPr="0072735C">
              <w:rPr>
                <w:webHidden/>
              </w:rPr>
              <w:fldChar w:fldCharType="begin"/>
            </w:r>
            <w:r w:rsidRPr="0072735C">
              <w:rPr>
                <w:webHidden/>
              </w:rPr>
              <w:instrText xml:space="preserve"> PAGEREF _Toc185605216 \h </w:instrText>
            </w:r>
            <w:r w:rsidRPr="0072735C">
              <w:rPr>
                <w:webHidden/>
              </w:rPr>
            </w:r>
            <w:r w:rsidRPr="0072735C">
              <w:rPr>
                <w:webHidden/>
              </w:rPr>
              <w:fldChar w:fldCharType="separate"/>
            </w:r>
            <w:r w:rsidRPr="0072735C">
              <w:rPr>
                <w:webHidden/>
              </w:rPr>
              <w:t>7</w:t>
            </w:r>
            <w:r w:rsidRPr="0072735C">
              <w:rPr>
                <w:webHidden/>
              </w:rPr>
              <w:fldChar w:fldCharType="end"/>
            </w:r>
          </w:hyperlink>
        </w:p>
        <w:p w14:paraId="5CC7D3E3" w14:textId="612E44FC"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17" w:history="1">
            <w:r w:rsidRPr="0072735C">
              <w:rPr>
                <w:rStyle w:val="Collegamentoipertestuale"/>
                <w:rFonts w:ascii="Wingdings" w:eastAsia="Times New Roman" w:hAnsi="Wingdings"/>
                <w:noProof/>
              </w:rPr>
              <w:t></w:t>
            </w:r>
            <w:r w:rsidRPr="0072735C">
              <w:rPr>
                <w:rFonts w:eastAsiaTheme="minorEastAsia"/>
                <w:noProof/>
                <w:sz w:val="24"/>
                <w:szCs w:val="24"/>
                <w:lang w:eastAsia="it-IT"/>
              </w:rPr>
              <w:tab/>
            </w:r>
            <w:r w:rsidRPr="0072735C">
              <w:rPr>
                <w:rStyle w:val="Collegamentoipertestuale"/>
                <w:rFonts w:ascii="Bookman Old Style" w:eastAsia="Times New Roman" w:hAnsi="Bookman Old Style"/>
                <w:noProof/>
              </w:rPr>
              <w:t>Modifiche al Canone Unico Patrimoniale (Art. 1, commi 755-758)</w:t>
            </w:r>
            <w:r w:rsidRPr="0072735C">
              <w:rPr>
                <w:noProof/>
                <w:webHidden/>
              </w:rPr>
              <w:tab/>
            </w:r>
            <w:r w:rsidRPr="0072735C">
              <w:rPr>
                <w:noProof/>
                <w:webHidden/>
              </w:rPr>
              <w:fldChar w:fldCharType="begin"/>
            </w:r>
            <w:r w:rsidRPr="0072735C">
              <w:rPr>
                <w:noProof/>
                <w:webHidden/>
              </w:rPr>
              <w:instrText xml:space="preserve"> PAGEREF _Toc185605217 \h </w:instrText>
            </w:r>
            <w:r w:rsidRPr="0072735C">
              <w:rPr>
                <w:noProof/>
                <w:webHidden/>
              </w:rPr>
            </w:r>
            <w:r w:rsidRPr="0072735C">
              <w:rPr>
                <w:noProof/>
                <w:webHidden/>
              </w:rPr>
              <w:fldChar w:fldCharType="separate"/>
            </w:r>
            <w:r w:rsidRPr="0072735C">
              <w:rPr>
                <w:noProof/>
                <w:webHidden/>
              </w:rPr>
              <w:t>7</w:t>
            </w:r>
            <w:r w:rsidRPr="0072735C">
              <w:rPr>
                <w:noProof/>
                <w:webHidden/>
              </w:rPr>
              <w:fldChar w:fldCharType="end"/>
            </w:r>
          </w:hyperlink>
        </w:p>
        <w:p w14:paraId="791890B1" w14:textId="079B7103"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18"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Potenziamento riscossione degli enti locali (Art. 1, comma 779)</w:t>
            </w:r>
            <w:r w:rsidRPr="0072735C">
              <w:rPr>
                <w:noProof/>
                <w:webHidden/>
              </w:rPr>
              <w:tab/>
            </w:r>
            <w:r w:rsidRPr="0072735C">
              <w:rPr>
                <w:noProof/>
                <w:webHidden/>
              </w:rPr>
              <w:fldChar w:fldCharType="begin"/>
            </w:r>
            <w:r w:rsidRPr="0072735C">
              <w:rPr>
                <w:noProof/>
                <w:webHidden/>
              </w:rPr>
              <w:instrText xml:space="preserve"> PAGEREF _Toc185605218 \h </w:instrText>
            </w:r>
            <w:r w:rsidRPr="0072735C">
              <w:rPr>
                <w:noProof/>
                <w:webHidden/>
              </w:rPr>
            </w:r>
            <w:r w:rsidRPr="0072735C">
              <w:rPr>
                <w:noProof/>
                <w:webHidden/>
              </w:rPr>
              <w:fldChar w:fldCharType="separate"/>
            </w:r>
            <w:r w:rsidRPr="0072735C">
              <w:rPr>
                <w:noProof/>
                <w:webHidden/>
              </w:rPr>
              <w:t>7</w:t>
            </w:r>
            <w:r w:rsidRPr="0072735C">
              <w:rPr>
                <w:noProof/>
                <w:webHidden/>
              </w:rPr>
              <w:fldChar w:fldCharType="end"/>
            </w:r>
          </w:hyperlink>
        </w:p>
        <w:p w14:paraId="3E73BF5A" w14:textId="031141CB"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19"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Incremento contributo riservato ai Comuni per richiesta di riconoscimento della cittadinanza italiana (Art.1, commi 636-641)</w:t>
            </w:r>
            <w:r w:rsidRPr="0072735C">
              <w:rPr>
                <w:noProof/>
                <w:webHidden/>
              </w:rPr>
              <w:tab/>
            </w:r>
            <w:r w:rsidRPr="0072735C">
              <w:rPr>
                <w:noProof/>
                <w:webHidden/>
              </w:rPr>
              <w:fldChar w:fldCharType="begin"/>
            </w:r>
            <w:r w:rsidRPr="0072735C">
              <w:rPr>
                <w:noProof/>
                <w:webHidden/>
              </w:rPr>
              <w:instrText xml:space="preserve"> PAGEREF _Toc185605219 \h </w:instrText>
            </w:r>
            <w:r w:rsidRPr="0072735C">
              <w:rPr>
                <w:noProof/>
                <w:webHidden/>
              </w:rPr>
            </w:r>
            <w:r w:rsidRPr="0072735C">
              <w:rPr>
                <w:noProof/>
                <w:webHidden/>
              </w:rPr>
              <w:fldChar w:fldCharType="separate"/>
            </w:r>
            <w:r w:rsidRPr="0072735C">
              <w:rPr>
                <w:noProof/>
                <w:webHidden/>
              </w:rPr>
              <w:t>8</w:t>
            </w:r>
            <w:r w:rsidRPr="0072735C">
              <w:rPr>
                <w:noProof/>
                <w:webHidden/>
              </w:rPr>
              <w:fldChar w:fldCharType="end"/>
            </w:r>
          </w:hyperlink>
        </w:p>
        <w:p w14:paraId="7980ACA5" w14:textId="23A48D3B"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20"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Addizionale comunale diritti di imbarco (Art. 1, commi 744-745)</w:t>
            </w:r>
            <w:r w:rsidRPr="0072735C">
              <w:rPr>
                <w:noProof/>
                <w:webHidden/>
              </w:rPr>
              <w:tab/>
            </w:r>
            <w:r w:rsidRPr="0072735C">
              <w:rPr>
                <w:noProof/>
                <w:webHidden/>
              </w:rPr>
              <w:fldChar w:fldCharType="begin"/>
            </w:r>
            <w:r w:rsidRPr="0072735C">
              <w:rPr>
                <w:noProof/>
                <w:webHidden/>
              </w:rPr>
              <w:instrText xml:space="preserve"> PAGEREF _Toc185605220 \h </w:instrText>
            </w:r>
            <w:r w:rsidRPr="0072735C">
              <w:rPr>
                <w:noProof/>
                <w:webHidden/>
              </w:rPr>
            </w:r>
            <w:r w:rsidRPr="0072735C">
              <w:rPr>
                <w:noProof/>
                <w:webHidden/>
              </w:rPr>
              <w:fldChar w:fldCharType="separate"/>
            </w:r>
            <w:r w:rsidRPr="0072735C">
              <w:rPr>
                <w:noProof/>
                <w:webHidden/>
              </w:rPr>
              <w:t>8</w:t>
            </w:r>
            <w:r w:rsidRPr="0072735C">
              <w:rPr>
                <w:noProof/>
                <w:webHidden/>
              </w:rPr>
              <w:fldChar w:fldCharType="end"/>
            </w:r>
          </w:hyperlink>
        </w:p>
        <w:p w14:paraId="586C24AF" w14:textId="57E273FD" w:rsidR="0072735C" w:rsidRPr="0072735C" w:rsidRDefault="0072735C" w:rsidP="0072735C">
          <w:pPr>
            <w:pStyle w:val="Sommario1"/>
            <w:rPr>
              <w:rFonts w:asciiTheme="minorHAnsi" w:eastAsiaTheme="minorEastAsia" w:hAnsiTheme="minorHAnsi"/>
              <w:sz w:val="24"/>
              <w:szCs w:val="24"/>
              <w:lang w:eastAsia="it-IT"/>
            </w:rPr>
          </w:pPr>
          <w:hyperlink w:anchor="_Toc185605221" w:history="1">
            <w:r w:rsidRPr="0072735C">
              <w:rPr>
                <w:rStyle w:val="Collegamentoipertestuale"/>
              </w:rPr>
              <w:t>PICCOLI COMUNI</w:t>
            </w:r>
            <w:r w:rsidRPr="0072735C">
              <w:rPr>
                <w:webHidden/>
              </w:rPr>
              <w:tab/>
            </w:r>
            <w:r w:rsidRPr="0072735C">
              <w:rPr>
                <w:webHidden/>
              </w:rPr>
              <w:fldChar w:fldCharType="begin"/>
            </w:r>
            <w:r w:rsidRPr="0072735C">
              <w:rPr>
                <w:webHidden/>
              </w:rPr>
              <w:instrText xml:space="preserve"> PAGEREF _Toc185605221 \h </w:instrText>
            </w:r>
            <w:r w:rsidRPr="0072735C">
              <w:rPr>
                <w:webHidden/>
              </w:rPr>
            </w:r>
            <w:r w:rsidRPr="0072735C">
              <w:rPr>
                <w:webHidden/>
              </w:rPr>
              <w:fldChar w:fldCharType="separate"/>
            </w:r>
            <w:r w:rsidRPr="0072735C">
              <w:rPr>
                <w:webHidden/>
              </w:rPr>
              <w:t>9</w:t>
            </w:r>
            <w:r w:rsidRPr="0072735C">
              <w:rPr>
                <w:webHidden/>
              </w:rPr>
              <w:fldChar w:fldCharType="end"/>
            </w:r>
          </w:hyperlink>
        </w:p>
        <w:p w14:paraId="47C83965" w14:textId="51A8515D"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22"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Sostegno economico Comuni in dissesto sotto ai 1000 abitanti (Art. 1, commi 775-778)</w:t>
            </w:r>
            <w:r w:rsidRPr="0072735C">
              <w:rPr>
                <w:noProof/>
                <w:webHidden/>
              </w:rPr>
              <w:tab/>
            </w:r>
            <w:r w:rsidRPr="0072735C">
              <w:rPr>
                <w:noProof/>
                <w:webHidden/>
              </w:rPr>
              <w:fldChar w:fldCharType="begin"/>
            </w:r>
            <w:r w:rsidRPr="0072735C">
              <w:rPr>
                <w:noProof/>
                <w:webHidden/>
              </w:rPr>
              <w:instrText xml:space="preserve"> PAGEREF _Toc185605222 \h </w:instrText>
            </w:r>
            <w:r w:rsidRPr="0072735C">
              <w:rPr>
                <w:noProof/>
                <w:webHidden/>
              </w:rPr>
            </w:r>
            <w:r w:rsidRPr="0072735C">
              <w:rPr>
                <w:noProof/>
                <w:webHidden/>
              </w:rPr>
              <w:fldChar w:fldCharType="separate"/>
            </w:r>
            <w:r w:rsidRPr="0072735C">
              <w:rPr>
                <w:noProof/>
                <w:webHidden/>
              </w:rPr>
              <w:t>9</w:t>
            </w:r>
            <w:r w:rsidRPr="0072735C">
              <w:rPr>
                <w:noProof/>
                <w:webHidden/>
              </w:rPr>
              <w:fldChar w:fldCharType="end"/>
            </w:r>
          </w:hyperlink>
        </w:p>
        <w:p w14:paraId="674EC024" w14:textId="2BDF0E22"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23"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Fondo straordinario per il rafforzamento dei servizi sociali Comuni fino a 3000 abitanti (Art. 1, commi 769-771)</w:t>
            </w:r>
            <w:r w:rsidRPr="0072735C">
              <w:rPr>
                <w:noProof/>
                <w:webHidden/>
              </w:rPr>
              <w:tab/>
            </w:r>
            <w:r w:rsidRPr="0072735C">
              <w:rPr>
                <w:noProof/>
                <w:webHidden/>
              </w:rPr>
              <w:fldChar w:fldCharType="begin"/>
            </w:r>
            <w:r w:rsidRPr="0072735C">
              <w:rPr>
                <w:noProof/>
                <w:webHidden/>
              </w:rPr>
              <w:instrText xml:space="preserve"> PAGEREF _Toc185605223 \h </w:instrText>
            </w:r>
            <w:r w:rsidRPr="0072735C">
              <w:rPr>
                <w:noProof/>
                <w:webHidden/>
              </w:rPr>
            </w:r>
            <w:r w:rsidRPr="0072735C">
              <w:rPr>
                <w:noProof/>
                <w:webHidden/>
              </w:rPr>
              <w:fldChar w:fldCharType="separate"/>
            </w:r>
            <w:r w:rsidRPr="0072735C">
              <w:rPr>
                <w:noProof/>
                <w:webHidden/>
              </w:rPr>
              <w:t>9</w:t>
            </w:r>
            <w:r w:rsidRPr="0072735C">
              <w:rPr>
                <w:noProof/>
                <w:webHidden/>
              </w:rPr>
              <w:fldChar w:fldCharType="end"/>
            </w:r>
          </w:hyperlink>
        </w:p>
        <w:p w14:paraId="532E06DC" w14:textId="1F55EF6A" w:rsidR="0072735C" w:rsidRPr="0072735C" w:rsidRDefault="0072735C" w:rsidP="0072735C">
          <w:pPr>
            <w:pStyle w:val="Sommario1"/>
            <w:rPr>
              <w:rFonts w:asciiTheme="minorHAnsi" w:eastAsiaTheme="minorEastAsia" w:hAnsiTheme="minorHAnsi"/>
              <w:sz w:val="24"/>
              <w:szCs w:val="24"/>
              <w:lang w:eastAsia="it-IT"/>
            </w:rPr>
          </w:pPr>
          <w:hyperlink w:anchor="_Toc185605224" w:history="1">
            <w:r w:rsidRPr="0072735C">
              <w:rPr>
                <w:rStyle w:val="Collegamentoipertestuale"/>
              </w:rPr>
              <w:t>RIGENERAZIONE URBANA E OPERE MEDIE</w:t>
            </w:r>
            <w:r w:rsidRPr="0072735C">
              <w:rPr>
                <w:webHidden/>
              </w:rPr>
              <w:tab/>
            </w:r>
            <w:r w:rsidRPr="0072735C">
              <w:rPr>
                <w:webHidden/>
              </w:rPr>
              <w:fldChar w:fldCharType="begin"/>
            </w:r>
            <w:r w:rsidRPr="0072735C">
              <w:rPr>
                <w:webHidden/>
              </w:rPr>
              <w:instrText xml:space="preserve"> PAGEREF _Toc185605224 \h </w:instrText>
            </w:r>
            <w:r w:rsidRPr="0072735C">
              <w:rPr>
                <w:webHidden/>
              </w:rPr>
            </w:r>
            <w:r w:rsidRPr="0072735C">
              <w:rPr>
                <w:webHidden/>
              </w:rPr>
              <w:fldChar w:fldCharType="separate"/>
            </w:r>
            <w:r w:rsidRPr="0072735C">
              <w:rPr>
                <w:webHidden/>
              </w:rPr>
              <w:t>10</w:t>
            </w:r>
            <w:r w:rsidRPr="0072735C">
              <w:rPr>
                <w:webHidden/>
              </w:rPr>
              <w:fldChar w:fldCharType="end"/>
            </w:r>
          </w:hyperlink>
        </w:p>
        <w:p w14:paraId="27CA0156" w14:textId="13E0ED16"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25"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Rigenerazione urbana (Art. 1, commi 805-808)</w:t>
            </w:r>
            <w:r w:rsidRPr="0072735C">
              <w:rPr>
                <w:noProof/>
                <w:webHidden/>
              </w:rPr>
              <w:tab/>
            </w:r>
            <w:r w:rsidRPr="0072735C">
              <w:rPr>
                <w:noProof/>
                <w:webHidden/>
              </w:rPr>
              <w:fldChar w:fldCharType="begin"/>
            </w:r>
            <w:r w:rsidRPr="0072735C">
              <w:rPr>
                <w:noProof/>
                <w:webHidden/>
              </w:rPr>
              <w:instrText xml:space="preserve"> PAGEREF _Toc185605225 \h </w:instrText>
            </w:r>
            <w:r w:rsidRPr="0072735C">
              <w:rPr>
                <w:noProof/>
                <w:webHidden/>
              </w:rPr>
            </w:r>
            <w:r w:rsidRPr="0072735C">
              <w:rPr>
                <w:noProof/>
                <w:webHidden/>
              </w:rPr>
              <w:fldChar w:fldCharType="separate"/>
            </w:r>
            <w:r w:rsidRPr="0072735C">
              <w:rPr>
                <w:noProof/>
                <w:webHidden/>
              </w:rPr>
              <w:t>10</w:t>
            </w:r>
            <w:r w:rsidRPr="0072735C">
              <w:rPr>
                <w:noProof/>
                <w:webHidden/>
              </w:rPr>
              <w:fldChar w:fldCharType="end"/>
            </w:r>
          </w:hyperlink>
        </w:p>
        <w:p w14:paraId="0BA20ACD" w14:textId="6DEBF5C6"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26"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Opere medie (Art. 1, commi 805-808)</w:t>
            </w:r>
            <w:r w:rsidRPr="0072735C">
              <w:rPr>
                <w:noProof/>
                <w:webHidden/>
              </w:rPr>
              <w:tab/>
            </w:r>
            <w:r w:rsidRPr="0072735C">
              <w:rPr>
                <w:noProof/>
                <w:webHidden/>
              </w:rPr>
              <w:fldChar w:fldCharType="begin"/>
            </w:r>
            <w:r w:rsidRPr="0072735C">
              <w:rPr>
                <w:noProof/>
                <w:webHidden/>
              </w:rPr>
              <w:instrText xml:space="preserve"> PAGEREF _Toc185605226 \h </w:instrText>
            </w:r>
            <w:r w:rsidRPr="0072735C">
              <w:rPr>
                <w:noProof/>
                <w:webHidden/>
              </w:rPr>
            </w:r>
            <w:r w:rsidRPr="0072735C">
              <w:rPr>
                <w:noProof/>
                <w:webHidden/>
              </w:rPr>
              <w:fldChar w:fldCharType="separate"/>
            </w:r>
            <w:r w:rsidRPr="0072735C">
              <w:rPr>
                <w:noProof/>
                <w:webHidden/>
              </w:rPr>
              <w:t>10</w:t>
            </w:r>
            <w:r w:rsidRPr="0072735C">
              <w:rPr>
                <w:noProof/>
                <w:webHidden/>
              </w:rPr>
              <w:fldChar w:fldCharType="end"/>
            </w:r>
          </w:hyperlink>
        </w:p>
        <w:p w14:paraId="628503AE" w14:textId="71E806BF" w:rsidR="0072735C" w:rsidRPr="0072735C" w:rsidRDefault="0072735C" w:rsidP="0072735C">
          <w:pPr>
            <w:pStyle w:val="Sommario1"/>
            <w:rPr>
              <w:rFonts w:asciiTheme="minorHAnsi" w:eastAsiaTheme="minorEastAsia" w:hAnsiTheme="minorHAnsi"/>
              <w:sz w:val="24"/>
              <w:szCs w:val="24"/>
              <w:lang w:eastAsia="it-IT"/>
            </w:rPr>
          </w:pPr>
          <w:hyperlink w:anchor="_Toc185605227" w:history="1">
            <w:r w:rsidRPr="0072735C">
              <w:rPr>
                <w:rStyle w:val="Collegamentoipertestuale"/>
              </w:rPr>
              <w:t>INFRASTRUTTURE E TPL</w:t>
            </w:r>
            <w:r w:rsidRPr="0072735C">
              <w:rPr>
                <w:webHidden/>
              </w:rPr>
              <w:tab/>
            </w:r>
            <w:r w:rsidRPr="0072735C">
              <w:rPr>
                <w:webHidden/>
              </w:rPr>
              <w:fldChar w:fldCharType="begin"/>
            </w:r>
            <w:r w:rsidRPr="0072735C">
              <w:rPr>
                <w:webHidden/>
              </w:rPr>
              <w:instrText xml:space="preserve"> PAGEREF _Toc185605227 \h </w:instrText>
            </w:r>
            <w:r w:rsidRPr="0072735C">
              <w:rPr>
                <w:webHidden/>
              </w:rPr>
            </w:r>
            <w:r w:rsidRPr="0072735C">
              <w:rPr>
                <w:webHidden/>
              </w:rPr>
              <w:fldChar w:fldCharType="separate"/>
            </w:r>
            <w:r w:rsidRPr="0072735C">
              <w:rPr>
                <w:webHidden/>
              </w:rPr>
              <w:t>10</w:t>
            </w:r>
            <w:r w:rsidRPr="0072735C">
              <w:rPr>
                <w:webHidden/>
              </w:rPr>
              <w:fldChar w:fldCharType="end"/>
            </w:r>
          </w:hyperlink>
        </w:p>
        <w:p w14:paraId="23EB26AB" w14:textId="3FC50FE8"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28"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Incremento finanziamento di interventi in materia di investimenti, infrastrutture e trasporti (Art. 1, comma 527)</w:t>
            </w:r>
            <w:r w:rsidRPr="0072735C">
              <w:rPr>
                <w:noProof/>
                <w:webHidden/>
              </w:rPr>
              <w:tab/>
            </w:r>
            <w:r w:rsidRPr="0072735C">
              <w:rPr>
                <w:noProof/>
                <w:webHidden/>
              </w:rPr>
              <w:fldChar w:fldCharType="begin"/>
            </w:r>
            <w:r w:rsidRPr="0072735C">
              <w:rPr>
                <w:noProof/>
                <w:webHidden/>
              </w:rPr>
              <w:instrText xml:space="preserve"> PAGEREF _Toc185605228 \h </w:instrText>
            </w:r>
            <w:r w:rsidRPr="0072735C">
              <w:rPr>
                <w:noProof/>
                <w:webHidden/>
              </w:rPr>
            </w:r>
            <w:r w:rsidRPr="0072735C">
              <w:rPr>
                <w:noProof/>
                <w:webHidden/>
              </w:rPr>
              <w:fldChar w:fldCharType="separate"/>
            </w:r>
            <w:r w:rsidRPr="0072735C">
              <w:rPr>
                <w:noProof/>
                <w:webHidden/>
              </w:rPr>
              <w:t>10</w:t>
            </w:r>
            <w:r w:rsidRPr="0072735C">
              <w:rPr>
                <w:noProof/>
                <w:webHidden/>
              </w:rPr>
              <w:fldChar w:fldCharType="end"/>
            </w:r>
          </w:hyperlink>
        </w:p>
        <w:p w14:paraId="0F373CA6" w14:textId="2106F2AB"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29" w:history="1">
            <w:r w:rsidRPr="0072735C">
              <w:rPr>
                <w:rStyle w:val="Collegamentoipertestuale"/>
                <w:rFonts w:ascii="Wingdings" w:hAnsi="Wingdings"/>
                <w:noProof/>
                <w:lang w:val="en-US"/>
              </w:rPr>
              <w:t></w:t>
            </w:r>
            <w:r w:rsidRPr="0072735C">
              <w:rPr>
                <w:rFonts w:eastAsiaTheme="minorEastAsia"/>
                <w:noProof/>
                <w:sz w:val="24"/>
                <w:szCs w:val="24"/>
                <w:lang w:eastAsia="it-IT"/>
              </w:rPr>
              <w:tab/>
            </w:r>
            <w:r w:rsidRPr="0072735C">
              <w:rPr>
                <w:rStyle w:val="Collegamentoipertestuale"/>
                <w:rFonts w:ascii="Bookman Old Style" w:hAnsi="Bookman Old Style"/>
                <w:noProof/>
                <w:lang w:val="en-US"/>
              </w:rPr>
              <w:t>Rinnovo bus TPL (Art. 1, comma 526)</w:t>
            </w:r>
            <w:r w:rsidRPr="0072735C">
              <w:rPr>
                <w:noProof/>
                <w:webHidden/>
              </w:rPr>
              <w:tab/>
            </w:r>
            <w:r w:rsidRPr="0072735C">
              <w:rPr>
                <w:noProof/>
                <w:webHidden/>
              </w:rPr>
              <w:fldChar w:fldCharType="begin"/>
            </w:r>
            <w:r w:rsidRPr="0072735C">
              <w:rPr>
                <w:noProof/>
                <w:webHidden/>
              </w:rPr>
              <w:instrText xml:space="preserve"> PAGEREF _Toc185605229 \h </w:instrText>
            </w:r>
            <w:r w:rsidRPr="0072735C">
              <w:rPr>
                <w:noProof/>
                <w:webHidden/>
              </w:rPr>
            </w:r>
            <w:r w:rsidRPr="0072735C">
              <w:rPr>
                <w:noProof/>
                <w:webHidden/>
              </w:rPr>
              <w:fldChar w:fldCharType="separate"/>
            </w:r>
            <w:r w:rsidRPr="0072735C">
              <w:rPr>
                <w:noProof/>
                <w:webHidden/>
              </w:rPr>
              <w:t>10</w:t>
            </w:r>
            <w:r w:rsidRPr="0072735C">
              <w:rPr>
                <w:noProof/>
                <w:webHidden/>
              </w:rPr>
              <w:fldChar w:fldCharType="end"/>
            </w:r>
          </w:hyperlink>
        </w:p>
        <w:p w14:paraId="551E6D91" w14:textId="640FE13C" w:rsidR="0072735C" w:rsidRPr="0072735C" w:rsidRDefault="0072735C" w:rsidP="0072735C">
          <w:pPr>
            <w:pStyle w:val="Sommario1"/>
            <w:rPr>
              <w:rFonts w:asciiTheme="minorHAnsi" w:eastAsiaTheme="minorEastAsia" w:hAnsiTheme="minorHAnsi"/>
              <w:sz w:val="24"/>
              <w:szCs w:val="24"/>
              <w:lang w:eastAsia="it-IT"/>
            </w:rPr>
          </w:pPr>
          <w:hyperlink w:anchor="_Toc185605230" w:history="1">
            <w:r w:rsidRPr="0072735C">
              <w:rPr>
                <w:rStyle w:val="Collegamentoipertestuale"/>
              </w:rPr>
              <w:t>FONDI</w:t>
            </w:r>
            <w:r w:rsidRPr="0072735C">
              <w:rPr>
                <w:webHidden/>
              </w:rPr>
              <w:tab/>
            </w:r>
            <w:r w:rsidRPr="0072735C">
              <w:rPr>
                <w:webHidden/>
              </w:rPr>
              <w:fldChar w:fldCharType="begin"/>
            </w:r>
            <w:r w:rsidRPr="0072735C">
              <w:rPr>
                <w:webHidden/>
              </w:rPr>
              <w:instrText xml:space="preserve"> PAGEREF _Toc185605230 \h </w:instrText>
            </w:r>
            <w:r w:rsidRPr="0072735C">
              <w:rPr>
                <w:webHidden/>
              </w:rPr>
            </w:r>
            <w:r w:rsidRPr="0072735C">
              <w:rPr>
                <w:webHidden/>
              </w:rPr>
              <w:fldChar w:fldCharType="separate"/>
            </w:r>
            <w:r w:rsidRPr="0072735C">
              <w:rPr>
                <w:webHidden/>
              </w:rPr>
              <w:t>11</w:t>
            </w:r>
            <w:r w:rsidRPr="0072735C">
              <w:rPr>
                <w:webHidden/>
              </w:rPr>
              <w:fldChar w:fldCharType="end"/>
            </w:r>
          </w:hyperlink>
        </w:p>
        <w:p w14:paraId="0B5E3589" w14:textId="711F2DE8"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31"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Fondo destinato ai Comuni per il contrasto povertà alimentare a scuola (Art. 1, commi 105-106)</w:t>
            </w:r>
            <w:r w:rsidRPr="0072735C">
              <w:rPr>
                <w:noProof/>
                <w:webHidden/>
              </w:rPr>
              <w:tab/>
            </w:r>
            <w:r w:rsidRPr="0072735C">
              <w:rPr>
                <w:noProof/>
                <w:webHidden/>
              </w:rPr>
              <w:fldChar w:fldCharType="begin"/>
            </w:r>
            <w:r w:rsidRPr="0072735C">
              <w:rPr>
                <w:noProof/>
                <w:webHidden/>
              </w:rPr>
              <w:instrText xml:space="preserve"> PAGEREF _Toc185605231 \h </w:instrText>
            </w:r>
            <w:r w:rsidRPr="0072735C">
              <w:rPr>
                <w:noProof/>
                <w:webHidden/>
              </w:rPr>
            </w:r>
            <w:r w:rsidRPr="0072735C">
              <w:rPr>
                <w:noProof/>
                <w:webHidden/>
              </w:rPr>
              <w:fldChar w:fldCharType="separate"/>
            </w:r>
            <w:r w:rsidRPr="0072735C">
              <w:rPr>
                <w:noProof/>
                <w:webHidden/>
              </w:rPr>
              <w:t>11</w:t>
            </w:r>
            <w:r w:rsidRPr="0072735C">
              <w:rPr>
                <w:noProof/>
                <w:webHidden/>
              </w:rPr>
              <w:fldChar w:fldCharType="end"/>
            </w:r>
          </w:hyperlink>
        </w:p>
        <w:p w14:paraId="383884CA" w14:textId="6F956049"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32"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Fondo morosità incolpevole (Art. 1, commi 117-119)</w:t>
            </w:r>
            <w:r w:rsidRPr="0072735C">
              <w:rPr>
                <w:noProof/>
                <w:webHidden/>
              </w:rPr>
              <w:tab/>
            </w:r>
            <w:r w:rsidRPr="0072735C">
              <w:rPr>
                <w:noProof/>
                <w:webHidden/>
              </w:rPr>
              <w:fldChar w:fldCharType="begin"/>
            </w:r>
            <w:r w:rsidRPr="0072735C">
              <w:rPr>
                <w:noProof/>
                <w:webHidden/>
              </w:rPr>
              <w:instrText xml:space="preserve"> PAGEREF _Toc185605232 \h </w:instrText>
            </w:r>
            <w:r w:rsidRPr="0072735C">
              <w:rPr>
                <w:noProof/>
                <w:webHidden/>
              </w:rPr>
            </w:r>
            <w:r w:rsidRPr="0072735C">
              <w:rPr>
                <w:noProof/>
                <w:webHidden/>
              </w:rPr>
              <w:fldChar w:fldCharType="separate"/>
            </w:r>
            <w:r w:rsidRPr="0072735C">
              <w:rPr>
                <w:noProof/>
                <w:webHidden/>
              </w:rPr>
              <w:t>11</w:t>
            </w:r>
            <w:r w:rsidRPr="0072735C">
              <w:rPr>
                <w:noProof/>
                <w:webHidden/>
              </w:rPr>
              <w:fldChar w:fldCharType="end"/>
            </w:r>
          </w:hyperlink>
        </w:p>
        <w:p w14:paraId="6B4AFFD0" w14:textId="0865E7AF"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33"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Fondo attività per minori in rieducazione (Art. 1, commi 766-768)</w:t>
            </w:r>
            <w:r w:rsidRPr="0072735C">
              <w:rPr>
                <w:noProof/>
                <w:webHidden/>
              </w:rPr>
              <w:tab/>
            </w:r>
            <w:r w:rsidRPr="0072735C">
              <w:rPr>
                <w:noProof/>
                <w:webHidden/>
              </w:rPr>
              <w:fldChar w:fldCharType="begin"/>
            </w:r>
            <w:r w:rsidRPr="0072735C">
              <w:rPr>
                <w:noProof/>
                <w:webHidden/>
              </w:rPr>
              <w:instrText xml:space="preserve"> PAGEREF _Toc185605233 \h </w:instrText>
            </w:r>
            <w:r w:rsidRPr="0072735C">
              <w:rPr>
                <w:noProof/>
                <w:webHidden/>
              </w:rPr>
            </w:r>
            <w:r w:rsidRPr="0072735C">
              <w:rPr>
                <w:noProof/>
                <w:webHidden/>
              </w:rPr>
              <w:fldChar w:fldCharType="separate"/>
            </w:r>
            <w:r w:rsidRPr="0072735C">
              <w:rPr>
                <w:noProof/>
                <w:webHidden/>
              </w:rPr>
              <w:t>11</w:t>
            </w:r>
            <w:r w:rsidRPr="0072735C">
              <w:rPr>
                <w:noProof/>
                <w:webHidden/>
              </w:rPr>
              <w:fldChar w:fldCharType="end"/>
            </w:r>
          </w:hyperlink>
        </w:p>
        <w:p w14:paraId="3744C4E0" w14:textId="79EC927E" w:rsidR="0072735C" w:rsidRPr="0072735C" w:rsidRDefault="0072735C" w:rsidP="0072735C">
          <w:pPr>
            <w:pStyle w:val="Sommario1"/>
            <w:rPr>
              <w:rFonts w:asciiTheme="minorHAnsi" w:eastAsiaTheme="minorEastAsia" w:hAnsiTheme="minorHAnsi"/>
              <w:sz w:val="24"/>
              <w:szCs w:val="24"/>
              <w:lang w:eastAsia="it-IT"/>
            </w:rPr>
          </w:pPr>
          <w:hyperlink w:anchor="_Toc185605234" w:history="1">
            <w:r w:rsidRPr="0072735C">
              <w:rPr>
                <w:rStyle w:val="Collegamentoipertestuale"/>
              </w:rPr>
              <w:t>WELFARE</w:t>
            </w:r>
            <w:r w:rsidRPr="0072735C">
              <w:rPr>
                <w:webHidden/>
              </w:rPr>
              <w:tab/>
            </w:r>
            <w:r w:rsidRPr="0072735C">
              <w:rPr>
                <w:webHidden/>
              </w:rPr>
              <w:fldChar w:fldCharType="begin"/>
            </w:r>
            <w:r w:rsidRPr="0072735C">
              <w:rPr>
                <w:webHidden/>
              </w:rPr>
              <w:instrText xml:space="preserve"> PAGEREF _Toc185605234 \h </w:instrText>
            </w:r>
            <w:r w:rsidRPr="0072735C">
              <w:rPr>
                <w:webHidden/>
              </w:rPr>
            </w:r>
            <w:r w:rsidRPr="0072735C">
              <w:rPr>
                <w:webHidden/>
              </w:rPr>
              <w:fldChar w:fldCharType="separate"/>
            </w:r>
            <w:r w:rsidRPr="0072735C">
              <w:rPr>
                <w:webHidden/>
              </w:rPr>
              <w:t>12</w:t>
            </w:r>
            <w:r w:rsidRPr="0072735C">
              <w:rPr>
                <w:webHidden/>
              </w:rPr>
              <w:fldChar w:fldCharType="end"/>
            </w:r>
          </w:hyperlink>
        </w:p>
        <w:p w14:paraId="64419805" w14:textId="3EB6F6E9"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35"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Modalità utilizzo fondo unico inclusione disabilità (Art. 1, comma 234)</w:t>
            </w:r>
            <w:r w:rsidRPr="0072735C">
              <w:rPr>
                <w:noProof/>
                <w:webHidden/>
              </w:rPr>
              <w:tab/>
            </w:r>
            <w:r w:rsidRPr="0072735C">
              <w:rPr>
                <w:noProof/>
                <w:webHidden/>
              </w:rPr>
              <w:fldChar w:fldCharType="begin"/>
            </w:r>
            <w:r w:rsidRPr="0072735C">
              <w:rPr>
                <w:noProof/>
                <w:webHidden/>
              </w:rPr>
              <w:instrText xml:space="preserve"> PAGEREF _Toc185605235 \h </w:instrText>
            </w:r>
            <w:r w:rsidRPr="0072735C">
              <w:rPr>
                <w:noProof/>
                <w:webHidden/>
              </w:rPr>
            </w:r>
            <w:r w:rsidRPr="0072735C">
              <w:rPr>
                <w:noProof/>
                <w:webHidden/>
              </w:rPr>
              <w:fldChar w:fldCharType="separate"/>
            </w:r>
            <w:r w:rsidRPr="0072735C">
              <w:rPr>
                <w:noProof/>
                <w:webHidden/>
              </w:rPr>
              <w:t>12</w:t>
            </w:r>
            <w:r w:rsidRPr="0072735C">
              <w:rPr>
                <w:noProof/>
                <w:webHidden/>
              </w:rPr>
              <w:fldChar w:fldCharType="end"/>
            </w:r>
          </w:hyperlink>
        </w:p>
        <w:p w14:paraId="4371DF11" w14:textId="33A08FC8" w:rsidR="0072735C" w:rsidRPr="0072735C" w:rsidRDefault="0072735C" w:rsidP="0072735C">
          <w:pPr>
            <w:pStyle w:val="Sommario1"/>
            <w:rPr>
              <w:rFonts w:asciiTheme="minorHAnsi" w:eastAsiaTheme="minorEastAsia" w:hAnsiTheme="minorHAnsi"/>
              <w:sz w:val="24"/>
              <w:szCs w:val="24"/>
              <w:lang w:eastAsia="it-IT"/>
            </w:rPr>
          </w:pPr>
          <w:hyperlink w:anchor="_Toc185605236" w:history="1">
            <w:r w:rsidRPr="0072735C">
              <w:rPr>
                <w:rStyle w:val="Collegamentoipertestuale"/>
              </w:rPr>
              <w:t>SCUOLA</w:t>
            </w:r>
            <w:r w:rsidRPr="0072735C">
              <w:rPr>
                <w:webHidden/>
              </w:rPr>
              <w:tab/>
            </w:r>
            <w:r w:rsidRPr="0072735C">
              <w:rPr>
                <w:webHidden/>
              </w:rPr>
              <w:fldChar w:fldCharType="begin"/>
            </w:r>
            <w:r w:rsidRPr="0072735C">
              <w:rPr>
                <w:webHidden/>
              </w:rPr>
              <w:instrText xml:space="preserve"> PAGEREF _Toc185605236 \h </w:instrText>
            </w:r>
            <w:r w:rsidRPr="0072735C">
              <w:rPr>
                <w:webHidden/>
              </w:rPr>
            </w:r>
            <w:r w:rsidRPr="0072735C">
              <w:rPr>
                <w:webHidden/>
              </w:rPr>
              <w:fldChar w:fldCharType="separate"/>
            </w:r>
            <w:r w:rsidRPr="0072735C">
              <w:rPr>
                <w:webHidden/>
              </w:rPr>
              <w:t>12</w:t>
            </w:r>
            <w:r w:rsidRPr="0072735C">
              <w:rPr>
                <w:webHidden/>
              </w:rPr>
              <w:fldChar w:fldCharType="end"/>
            </w:r>
          </w:hyperlink>
        </w:p>
        <w:p w14:paraId="0287748F" w14:textId="7D2952A5"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37"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Istituzione fondo sostegno attività educative (Art. 1, commi 213-216)</w:t>
            </w:r>
            <w:r w:rsidRPr="0072735C">
              <w:rPr>
                <w:noProof/>
                <w:webHidden/>
              </w:rPr>
              <w:tab/>
            </w:r>
            <w:r w:rsidRPr="0072735C">
              <w:rPr>
                <w:noProof/>
                <w:webHidden/>
              </w:rPr>
              <w:fldChar w:fldCharType="begin"/>
            </w:r>
            <w:r w:rsidRPr="0072735C">
              <w:rPr>
                <w:noProof/>
                <w:webHidden/>
              </w:rPr>
              <w:instrText xml:space="preserve"> PAGEREF _Toc185605237 \h </w:instrText>
            </w:r>
            <w:r w:rsidRPr="0072735C">
              <w:rPr>
                <w:noProof/>
                <w:webHidden/>
              </w:rPr>
            </w:r>
            <w:r w:rsidRPr="0072735C">
              <w:rPr>
                <w:noProof/>
                <w:webHidden/>
              </w:rPr>
              <w:fldChar w:fldCharType="separate"/>
            </w:r>
            <w:r w:rsidRPr="0072735C">
              <w:rPr>
                <w:noProof/>
                <w:webHidden/>
              </w:rPr>
              <w:t>12</w:t>
            </w:r>
            <w:r w:rsidRPr="0072735C">
              <w:rPr>
                <w:noProof/>
                <w:webHidden/>
              </w:rPr>
              <w:fldChar w:fldCharType="end"/>
            </w:r>
          </w:hyperlink>
        </w:p>
        <w:p w14:paraId="218F3C36" w14:textId="0D060431"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38"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Misure per il supporto al pagamento di rette relative alla frequenza di asili nido (Art. 1, commi 209 - 210 – 211 – 212)</w:t>
            </w:r>
            <w:r w:rsidRPr="0072735C">
              <w:rPr>
                <w:noProof/>
                <w:webHidden/>
              </w:rPr>
              <w:tab/>
            </w:r>
            <w:r w:rsidRPr="0072735C">
              <w:rPr>
                <w:noProof/>
                <w:webHidden/>
              </w:rPr>
              <w:fldChar w:fldCharType="begin"/>
            </w:r>
            <w:r w:rsidRPr="0072735C">
              <w:rPr>
                <w:noProof/>
                <w:webHidden/>
              </w:rPr>
              <w:instrText xml:space="preserve"> PAGEREF _Toc185605238 \h </w:instrText>
            </w:r>
            <w:r w:rsidRPr="0072735C">
              <w:rPr>
                <w:noProof/>
                <w:webHidden/>
              </w:rPr>
            </w:r>
            <w:r w:rsidRPr="0072735C">
              <w:rPr>
                <w:noProof/>
                <w:webHidden/>
              </w:rPr>
              <w:fldChar w:fldCharType="separate"/>
            </w:r>
            <w:r w:rsidRPr="0072735C">
              <w:rPr>
                <w:noProof/>
                <w:webHidden/>
              </w:rPr>
              <w:t>12</w:t>
            </w:r>
            <w:r w:rsidRPr="0072735C">
              <w:rPr>
                <w:noProof/>
                <w:webHidden/>
              </w:rPr>
              <w:fldChar w:fldCharType="end"/>
            </w:r>
          </w:hyperlink>
        </w:p>
        <w:p w14:paraId="0F05A82F" w14:textId="62A68BE5" w:rsidR="0072735C" w:rsidRPr="0072735C" w:rsidRDefault="0072735C" w:rsidP="0072735C">
          <w:pPr>
            <w:pStyle w:val="Sommario1"/>
            <w:rPr>
              <w:rFonts w:asciiTheme="minorHAnsi" w:eastAsiaTheme="minorEastAsia" w:hAnsiTheme="minorHAnsi"/>
              <w:sz w:val="24"/>
              <w:szCs w:val="24"/>
              <w:lang w:eastAsia="it-IT"/>
            </w:rPr>
          </w:pPr>
          <w:hyperlink w:anchor="_Toc185605239" w:history="1">
            <w:r w:rsidRPr="0072735C">
              <w:rPr>
                <w:rStyle w:val="Collegamentoipertestuale"/>
              </w:rPr>
              <w:t>CULTURA</w:t>
            </w:r>
            <w:r w:rsidRPr="0072735C">
              <w:rPr>
                <w:webHidden/>
              </w:rPr>
              <w:tab/>
            </w:r>
            <w:r w:rsidRPr="0072735C">
              <w:rPr>
                <w:webHidden/>
              </w:rPr>
              <w:fldChar w:fldCharType="begin"/>
            </w:r>
            <w:r w:rsidRPr="0072735C">
              <w:rPr>
                <w:webHidden/>
              </w:rPr>
              <w:instrText xml:space="preserve"> PAGEREF _Toc185605239 \h </w:instrText>
            </w:r>
            <w:r w:rsidRPr="0072735C">
              <w:rPr>
                <w:webHidden/>
              </w:rPr>
            </w:r>
            <w:r w:rsidRPr="0072735C">
              <w:rPr>
                <w:webHidden/>
              </w:rPr>
              <w:fldChar w:fldCharType="separate"/>
            </w:r>
            <w:r w:rsidRPr="0072735C">
              <w:rPr>
                <w:webHidden/>
              </w:rPr>
              <w:t>13</w:t>
            </w:r>
            <w:r w:rsidRPr="0072735C">
              <w:rPr>
                <w:webHidden/>
              </w:rPr>
              <w:fldChar w:fldCharType="end"/>
            </w:r>
          </w:hyperlink>
        </w:p>
        <w:p w14:paraId="6711BEE8" w14:textId="662DA284"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40"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Fondo nazionale per lo spettacolo dal vivo (Art. 1, comma 608)</w:t>
            </w:r>
            <w:r w:rsidRPr="0072735C">
              <w:rPr>
                <w:noProof/>
                <w:webHidden/>
              </w:rPr>
              <w:tab/>
            </w:r>
            <w:r w:rsidRPr="0072735C">
              <w:rPr>
                <w:noProof/>
                <w:webHidden/>
              </w:rPr>
              <w:fldChar w:fldCharType="begin"/>
            </w:r>
            <w:r w:rsidRPr="0072735C">
              <w:rPr>
                <w:noProof/>
                <w:webHidden/>
              </w:rPr>
              <w:instrText xml:space="preserve"> PAGEREF _Toc185605240 \h </w:instrText>
            </w:r>
            <w:r w:rsidRPr="0072735C">
              <w:rPr>
                <w:noProof/>
                <w:webHidden/>
              </w:rPr>
            </w:r>
            <w:r w:rsidRPr="0072735C">
              <w:rPr>
                <w:noProof/>
                <w:webHidden/>
              </w:rPr>
              <w:fldChar w:fldCharType="separate"/>
            </w:r>
            <w:r w:rsidRPr="0072735C">
              <w:rPr>
                <w:noProof/>
                <w:webHidden/>
              </w:rPr>
              <w:t>13</w:t>
            </w:r>
            <w:r w:rsidRPr="0072735C">
              <w:rPr>
                <w:noProof/>
                <w:webHidden/>
              </w:rPr>
              <w:fldChar w:fldCharType="end"/>
            </w:r>
          </w:hyperlink>
        </w:p>
        <w:p w14:paraId="2ED5AE16" w14:textId="74D2E42B" w:rsidR="0072735C" w:rsidRPr="0072735C" w:rsidRDefault="0072735C" w:rsidP="0072735C">
          <w:pPr>
            <w:pStyle w:val="Sommario1"/>
            <w:rPr>
              <w:rFonts w:asciiTheme="minorHAnsi" w:eastAsiaTheme="minorEastAsia" w:hAnsiTheme="minorHAnsi"/>
              <w:sz w:val="24"/>
              <w:szCs w:val="24"/>
              <w:lang w:eastAsia="it-IT"/>
            </w:rPr>
          </w:pPr>
          <w:hyperlink w:anchor="_Toc185605241" w:history="1">
            <w:r w:rsidRPr="0072735C">
              <w:rPr>
                <w:rStyle w:val="Collegamentoipertestuale"/>
              </w:rPr>
              <w:t>SICUREZZA E LEGALITÀ</w:t>
            </w:r>
            <w:r w:rsidRPr="0072735C">
              <w:rPr>
                <w:webHidden/>
              </w:rPr>
              <w:tab/>
            </w:r>
            <w:r w:rsidRPr="0072735C">
              <w:rPr>
                <w:webHidden/>
              </w:rPr>
              <w:fldChar w:fldCharType="begin"/>
            </w:r>
            <w:r w:rsidRPr="0072735C">
              <w:rPr>
                <w:webHidden/>
              </w:rPr>
              <w:instrText xml:space="preserve"> PAGEREF _Toc185605241 \h </w:instrText>
            </w:r>
            <w:r w:rsidRPr="0072735C">
              <w:rPr>
                <w:webHidden/>
              </w:rPr>
            </w:r>
            <w:r w:rsidRPr="0072735C">
              <w:rPr>
                <w:webHidden/>
              </w:rPr>
              <w:fldChar w:fldCharType="separate"/>
            </w:r>
            <w:r w:rsidRPr="0072735C">
              <w:rPr>
                <w:webHidden/>
              </w:rPr>
              <w:t>13</w:t>
            </w:r>
            <w:r w:rsidRPr="0072735C">
              <w:rPr>
                <w:webHidden/>
              </w:rPr>
              <w:fldChar w:fldCharType="end"/>
            </w:r>
          </w:hyperlink>
        </w:p>
        <w:p w14:paraId="568459BB" w14:textId="12EEBDA2"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42"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Incremento del fondo per la legalità (Art. 1, comma 772)</w:t>
            </w:r>
            <w:r w:rsidRPr="0072735C">
              <w:rPr>
                <w:noProof/>
                <w:webHidden/>
              </w:rPr>
              <w:tab/>
            </w:r>
            <w:r w:rsidRPr="0072735C">
              <w:rPr>
                <w:noProof/>
                <w:webHidden/>
              </w:rPr>
              <w:fldChar w:fldCharType="begin"/>
            </w:r>
            <w:r w:rsidRPr="0072735C">
              <w:rPr>
                <w:noProof/>
                <w:webHidden/>
              </w:rPr>
              <w:instrText xml:space="preserve"> PAGEREF _Toc185605242 \h </w:instrText>
            </w:r>
            <w:r w:rsidRPr="0072735C">
              <w:rPr>
                <w:noProof/>
                <w:webHidden/>
              </w:rPr>
            </w:r>
            <w:r w:rsidRPr="0072735C">
              <w:rPr>
                <w:noProof/>
                <w:webHidden/>
              </w:rPr>
              <w:fldChar w:fldCharType="separate"/>
            </w:r>
            <w:r w:rsidRPr="0072735C">
              <w:rPr>
                <w:noProof/>
                <w:webHidden/>
              </w:rPr>
              <w:t>13</w:t>
            </w:r>
            <w:r w:rsidRPr="0072735C">
              <w:rPr>
                <w:noProof/>
                <w:webHidden/>
              </w:rPr>
              <w:fldChar w:fldCharType="end"/>
            </w:r>
          </w:hyperlink>
        </w:p>
        <w:p w14:paraId="2E734FAC" w14:textId="27A1859F" w:rsidR="0072735C" w:rsidRPr="0072735C" w:rsidRDefault="0072735C" w:rsidP="0072735C">
          <w:pPr>
            <w:pStyle w:val="Sommario1"/>
            <w:rPr>
              <w:rFonts w:asciiTheme="minorHAnsi" w:eastAsiaTheme="minorEastAsia" w:hAnsiTheme="minorHAnsi"/>
              <w:sz w:val="24"/>
              <w:szCs w:val="24"/>
              <w:lang w:eastAsia="it-IT"/>
            </w:rPr>
          </w:pPr>
          <w:hyperlink w:anchor="_Toc185605243" w:history="1">
            <w:r w:rsidRPr="0072735C">
              <w:rPr>
                <w:rStyle w:val="Collegamentoipertestuale"/>
              </w:rPr>
              <w:t>SICUREZZA DEL TERRITORIO E PROTEZIONE CIVILE</w:t>
            </w:r>
            <w:r w:rsidRPr="0072735C">
              <w:rPr>
                <w:webHidden/>
              </w:rPr>
              <w:tab/>
            </w:r>
            <w:r w:rsidRPr="0072735C">
              <w:rPr>
                <w:webHidden/>
              </w:rPr>
              <w:fldChar w:fldCharType="begin"/>
            </w:r>
            <w:r w:rsidRPr="0072735C">
              <w:rPr>
                <w:webHidden/>
              </w:rPr>
              <w:instrText xml:space="preserve"> PAGEREF _Toc185605243 \h </w:instrText>
            </w:r>
            <w:r w:rsidRPr="0072735C">
              <w:rPr>
                <w:webHidden/>
              </w:rPr>
            </w:r>
            <w:r w:rsidRPr="0072735C">
              <w:rPr>
                <w:webHidden/>
              </w:rPr>
              <w:fldChar w:fldCharType="separate"/>
            </w:r>
            <w:r w:rsidRPr="0072735C">
              <w:rPr>
                <w:webHidden/>
              </w:rPr>
              <w:t>13</w:t>
            </w:r>
            <w:r w:rsidRPr="0072735C">
              <w:rPr>
                <w:webHidden/>
              </w:rPr>
              <w:fldChar w:fldCharType="end"/>
            </w:r>
          </w:hyperlink>
        </w:p>
        <w:p w14:paraId="18C4532D" w14:textId="1A7547B6"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44"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Attività venatoria (Art.1, comma 550)</w:t>
            </w:r>
            <w:r w:rsidRPr="0072735C">
              <w:rPr>
                <w:noProof/>
                <w:webHidden/>
              </w:rPr>
              <w:tab/>
            </w:r>
            <w:r w:rsidRPr="0072735C">
              <w:rPr>
                <w:noProof/>
                <w:webHidden/>
              </w:rPr>
              <w:fldChar w:fldCharType="begin"/>
            </w:r>
            <w:r w:rsidRPr="0072735C">
              <w:rPr>
                <w:noProof/>
                <w:webHidden/>
              </w:rPr>
              <w:instrText xml:space="preserve"> PAGEREF _Toc185605244 \h </w:instrText>
            </w:r>
            <w:r w:rsidRPr="0072735C">
              <w:rPr>
                <w:noProof/>
                <w:webHidden/>
              </w:rPr>
            </w:r>
            <w:r w:rsidRPr="0072735C">
              <w:rPr>
                <w:noProof/>
                <w:webHidden/>
              </w:rPr>
              <w:fldChar w:fldCharType="separate"/>
            </w:r>
            <w:r w:rsidRPr="0072735C">
              <w:rPr>
                <w:noProof/>
                <w:webHidden/>
              </w:rPr>
              <w:t>13</w:t>
            </w:r>
            <w:r w:rsidRPr="0072735C">
              <w:rPr>
                <w:noProof/>
                <w:webHidden/>
              </w:rPr>
              <w:fldChar w:fldCharType="end"/>
            </w:r>
          </w:hyperlink>
        </w:p>
        <w:p w14:paraId="3EB7A915" w14:textId="43B3AE30"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45"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Commissario straordinario fenomeni sismici (Art. 1, comma 685)</w:t>
            </w:r>
            <w:r w:rsidRPr="0072735C">
              <w:rPr>
                <w:noProof/>
                <w:webHidden/>
              </w:rPr>
              <w:tab/>
            </w:r>
            <w:r w:rsidRPr="0072735C">
              <w:rPr>
                <w:noProof/>
                <w:webHidden/>
              </w:rPr>
              <w:fldChar w:fldCharType="begin"/>
            </w:r>
            <w:r w:rsidRPr="0072735C">
              <w:rPr>
                <w:noProof/>
                <w:webHidden/>
              </w:rPr>
              <w:instrText xml:space="preserve"> PAGEREF _Toc185605245 \h </w:instrText>
            </w:r>
            <w:r w:rsidRPr="0072735C">
              <w:rPr>
                <w:noProof/>
                <w:webHidden/>
              </w:rPr>
            </w:r>
            <w:r w:rsidRPr="0072735C">
              <w:rPr>
                <w:noProof/>
                <w:webHidden/>
              </w:rPr>
              <w:fldChar w:fldCharType="separate"/>
            </w:r>
            <w:r w:rsidRPr="0072735C">
              <w:rPr>
                <w:noProof/>
                <w:webHidden/>
              </w:rPr>
              <w:t>13</w:t>
            </w:r>
            <w:r w:rsidRPr="0072735C">
              <w:rPr>
                <w:noProof/>
                <w:webHidden/>
              </w:rPr>
              <w:fldChar w:fldCharType="end"/>
            </w:r>
          </w:hyperlink>
        </w:p>
        <w:p w14:paraId="26DE6C43" w14:textId="44ECE168"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46"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Contributo interventi conseguenti alle analisi di vulnerabilità sismica (Art.1, commi 694-703)</w:t>
            </w:r>
            <w:r w:rsidRPr="0072735C">
              <w:rPr>
                <w:noProof/>
                <w:webHidden/>
              </w:rPr>
              <w:tab/>
            </w:r>
            <w:r w:rsidRPr="0072735C">
              <w:rPr>
                <w:noProof/>
                <w:webHidden/>
              </w:rPr>
              <w:fldChar w:fldCharType="begin"/>
            </w:r>
            <w:r w:rsidRPr="0072735C">
              <w:rPr>
                <w:noProof/>
                <w:webHidden/>
              </w:rPr>
              <w:instrText xml:space="preserve"> PAGEREF _Toc185605246 \h </w:instrText>
            </w:r>
            <w:r w:rsidRPr="0072735C">
              <w:rPr>
                <w:noProof/>
                <w:webHidden/>
              </w:rPr>
            </w:r>
            <w:r w:rsidRPr="0072735C">
              <w:rPr>
                <w:noProof/>
                <w:webHidden/>
              </w:rPr>
              <w:fldChar w:fldCharType="separate"/>
            </w:r>
            <w:r w:rsidRPr="0072735C">
              <w:rPr>
                <w:noProof/>
                <w:webHidden/>
              </w:rPr>
              <w:t>14</w:t>
            </w:r>
            <w:r w:rsidRPr="0072735C">
              <w:rPr>
                <w:noProof/>
                <w:webHidden/>
              </w:rPr>
              <w:fldChar w:fldCharType="end"/>
            </w:r>
          </w:hyperlink>
        </w:p>
        <w:p w14:paraId="3DEC13D1" w14:textId="0E827FA9" w:rsidR="0072735C" w:rsidRPr="0072735C" w:rsidRDefault="0072735C">
          <w:pPr>
            <w:pStyle w:val="Sommario2"/>
            <w:tabs>
              <w:tab w:val="left" w:pos="720"/>
              <w:tab w:val="right" w:leader="dot" w:pos="9628"/>
            </w:tabs>
            <w:rPr>
              <w:rFonts w:eastAsiaTheme="minorEastAsia"/>
              <w:noProof/>
              <w:sz w:val="24"/>
              <w:szCs w:val="24"/>
              <w:lang w:eastAsia="it-IT"/>
            </w:rPr>
          </w:pPr>
          <w:hyperlink w:anchor="_Toc185605247"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Rimessa in efficienza opere idrauliche (Art. 1, commi 708)</w:t>
            </w:r>
            <w:r w:rsidRPr="0072735C">
              <w:rPr>
                <w:noProof/>
                <w:webHidden/>
              </w:rPr>
              <w:tab/>
            </w:r>
            <w:r w:rsidRPr="0072735C">
              <w:rPr>
                <w:noProof/>
                <w:webHidden/>
              </w:rPr>
              <w:fldChar w:fldCharType="begin"/>
            </w:r>
            <w:r w:rsidRPr="0072735C">
              <w:rPr>
                <w:noProof/>
                <w:webHidden/>
              </w:rPr>
              <w:instrText xml:space="preserve"> PAGEREF _Toc185605247 \h </w:instrText>
            </w:r>
            <w:r w:rsidRPr="0072735C">
              <w:rPr>
                <w:noProof/>
                <w:webHidden/>
              </w:rPr>
            </w:r>
            <w:r w:rsidRPr="0072735C">
              <w:rPr>
                <w:noProof/>
                <w:webHidden/>
              </w:rPr>
              <w:fldChar w:fldCharType="separate"/>
            </w:r>
            <w:r w:rsidRPr="0072735C">
              <w:rPr>
                <w:noProof/>
                <w:webHidden/>
              </w:rPr>
              <w:t>14</w:t>
            </w:r>
            <w:r w:rsidRPr="0072735C">
              <w:rPr>
                <w:noProof/>
                <w:webHidden/>
              </w:rPr>
              <w:fldChar w:fldCharType="end"/>
            </w:r>
          </w:hyperlink>
        </w:p>
        <w:p w14:paraId="24C10BB9" w14:textId="4AFCCD9C" w:rsidR="0072735C" w:rsidRDefault="0072735C">
          <w:pPr>
            <w:pStyle w:val="Sommario2"/>
            <w:tabs>
              <w:tab w:val="left" w:pos="720"/>
              <w:tab w:val="right" w:leader="dot" w:pos="9628"/>
            </w:tabs>
            <w:rPr>
              <w:rFonts w:eastAsiaTheme="minorEastAsia"/>
              <w:noProof/>
              <w:sz w:val="24"/>
              <w:szCs w:val="24"/>
              <w:lang w:eastAsia="it-IT"/>
            </w:rPr>
          </w:pPr>
          <w:hyperlink w:anchor="_Toc185605248" w:history="1">
            <w:r w:rsidRPr="0072735C">
              <w:rPr>
                <w:rStyle w:val="Collegamentoipertestuale"/>
                <w:rFonts w:ascii="Wingdings" w:hAnsi="Wingdings"/>
                <w:noProof/>
              </w:rPr>
              <w:t></w:t>
            </w:r>
            <w:r w:rsidRPr="0072735C">
              <w:rPr>
                <w:rFonts w:eastAsiaTheme="minorEastAsia"/>
                <w:noProof/>
                <w:sz w:val="24"/>
                <w:szCs w:val="24"/>
                <w:lang w:eastAsia="it-IT"/>
              </w:rPr>
              <w:tab/>
            </w:r>
            <w:r w:rsidRPr="0072735C">
              <w:rPr>
                <w:rStyle w:val="Collegamentoipertestuale"/>
                <w:rFonts w:ascii="Bookman Old Style" w:hAnsi="Bookman Old Style"/>
                <w:noProof/>
              </w:rPr>
              <w:t>Fondo per la valorizzazione del mare (Art.1, comma 725)</w:t>
            </w:r>
            <w:r w:rsidRPr="0072735C">
              <w:rPr>
                <w:noProof/>
                <w:webHidden/>
              </w:rPr>
              <w:tab/>
            </w:r>
            <w:r w:rsidRPr="0072735C">
              <w:rPr>
                <w:noProof/>
                <w:webHidden/>
              </w:rPr>
              <w:fldChar w:fldCharType="begin"/>
            </w:r>
            <w:r w:rsidRPr="0072735C">
              <w:rPr>
                <w:noProof/>
                <w:webHidden/>
              </w:rPr>
              <w:instrText xml:space="preserve"> PAGEREF _Toc185605248 \h </w:instrText>
            </w:r>
            <w:r w:rsidRPr="0072735C">
              <w:rPr>
                <w:noProof/>
                <w:webHidden/>
              </w:rPr>
            </w:r>
            <w:r w:rsidRPr="0072735C">
              <w:rPr>
                <w:noProof/>
                <w:webHidden/>
              </w:rPr>
              <w:fldChar w:fldCharType="separate"/>
            </w:r>
            <w:r w:rsidRPr="0072735C">
              <w:rPr>
                <w:noProof/>
                <w:webHidden/>
              </w:rPr>
              <w:t>15</w:t>
            </w:r>
            <w:r w:rsidRPr="0072735C">
              <w:rPr>
                <w:noProof/>
                <w:webHidden/>
              </w:rPr>
              <w:fldChar w:fldCharType="end"/>
            </w:r>
          </w:hyperlink>
        </w:p>
        <w:p w14:paraId="13DECDA3" w14:textId="1CEB8709" w:rsidR="00684504" w:rsidRPr="00521A02" w:rsidRDefault="00684504">
          <w:pPr>
            <w:rPr>
              <w:rFonts w:ascii="Bookman Old Style" w:hAnsi="Bookman Old Style"/>
            </w:rPr>
          </w:pPr>
          <w:r w:rsidRPr="00521A02">
            <w:rPr>
              <w:rFonts w:ascii="Bookman Old Style" w:hAnsi="Bookman Old Style"/>
              <w:b/>
              <w:bCs/>
            </w:rPr>
            <w:fldChar w:fldCharType="end"/>
          </w:r>
        </w:p>
      </w:sdtContent>
    </w:sdt>
    <w:p w14:paraId="1CEFA292" w14:textId="77777777" w:rsidR="00684504" w:rsidRPr="00521A02" w:rsidRDefault="00684504" w:rsidP="00B97B5A">
      <w:pPr>
        <w:pStyle w:val="Titolo2"/>
        <w:rPr>
          <w:rFonts w:ascii="Bookman Old Style" w:hAnsi="Bookman Old Style"/>
          <w:sz w:val="22"/>
          <w:szCs w:val="22"/>
        </w:rPr>
      </w:pPr>
    </w:p>
    <w:p w14:paraId="5BEE385F" w14:textId="67BA87B0" w:rsidR="00CE5E2D" w:rsidRPr="00521A02" w:rsidRDefault="00963585" w:rsidP="005674E5">
      <w:pPr>
        <w:pStyle w:val="Titolo1"/>
        <w:spacing w:after="240"/>
        <w:rPr>
          <w:rFonts w:ascii="Bookman Old Style" w:hAnsi="Bookman Old Style"/>
          <w:b/>
          <w:bCs/>
          <w:sz w:val="22"/>
          <w:szCs w:val="22"/>
        </w:rPr>
      </w:pPr>
      <w:bookmarkStart w:id="0" w:name="_Toc185605200"/>
      <w:r w:rsidRPr="00521A02">
        <w:rPr>
          <w:rFonts w:ascii="Bookman Old Style" w:hAnsi="Bookman Old Style"/>
          <w:b/>
          <w:bCs/>
          <w:sz w:val="22"/>
          <w:szCs w:val="22"/>
        </w:rPr>
        <w:t>TAGLI</w:t>
      </w:r>
      <w:r w:rsidR="0048759C">
        <w:rPr>
          <w:rFonts w:ascii="Bookman Old Style" w:hAnsi="Bookman Old Style"/>
          <w:b/>
          <w:bCs/>
          <w:sz w:val="22"/>
          <w:szCs w:val="22"/>
        </w:rPr>
        <w:t xml:space="preserve"> E CONTROLL</w:t>
      </w:r>
      <w:r w:rsidR="00D773C9">
        <w:rPr>
          <w:rFonts w:ascii="Bookman Old Style" w:hAnsi="Bookman Old Style"/>
          <w:b/>
          <w:bCs/>
          <w:sz w:val="22"/>
          <w:szCs w:val="22"/>
        </w:rPr>
        <w:t>I</w:t>
      </w:r>
      <w:r w:rsidR="0048759C">
        <w:rPr>
          <w:rFonts w:ascii="Bookman Old Style" w:hAnsi="Bookman Old Style"/>
          <w:b/>
          <w:bCs/>
          <w:sz w:val="22"/>
          <w:szCs w:val="22"/>
        </w:rPr>
        <w:t xml:space="preserve"> SULLA FINANZA DEGLI ENTI </w:t>
      </w:r>
      <w:r w:rsidR="00623C00">
        <w:rPr>
          <w:rFonts w:ascii="Bookman Old Style" w:hAnsi="Bookman Old Style"/>
          <w:b/>
          <w:bCs/>
          <w:sz w:val="22"/>
          <w:szCs w:val="22"/>
        </w:rPr>
        <w:t>L</w:t>
      </w:r>
      <w:r w:rsidR="0048759C">
        <w:rPr>
          <w:rFonts w:ascii="Bookman Old Style" w:hAnsi="Bookman Old Style"/>
          <w:b/>
          <w:bCs/>
          <w:sz w:val="22"/>
          <w:szCs w:val="22"/>
        </w:rPr>
        <w:t>OCALI</w:t>
      </w:r>
      <w:bookmarkEnd w:id="0"/>
    </w:p>
    <w:p w14:paraId="5F814CA6" w14:textId="7B3F21B1" w:rsidR="00BB66DA" w:rsidRPr="00521A02" w:rsidRDefault="00BB66DA" w:rsidP="00B92CB6">
      <w:pPr>
        <w:pStyle w:val="Titolo2"/>
        <w:numPr>
          <w:ilvl w:val="0"/>
          <w:numId w:val="39"/>
        </w:numPr>
        <w:spacing w:before="0"/>
        <w:rPr>
          <w:rFonts w:ascii="Bookman Old Style" w:hAnsi="Bookman Old Style"/>
          <w:b/>
          <w:bCs/>
          <w:sz w:val="22"/>
          <w:szCs w:val="22"/>
        </w:rPr>
      </w:pPr>
      <w:bookmarkStart w:id="1" w:name="_Toc185605201"/>
      <w:r w:rsidRPr="00521A02">
        <w:rPr>
          <w:rFonts w:ascii="Bookman Old Style" w:hAnsi="Bookman Old Style"/>
          <w:b/>
          <w:bCs/>
          <w:sz w:val="22"/>
          <w:szCs w:val="22"/>
        </w:rPr>
        <w:t>Le ulteriori restrizioni di parte corrente</w:t>
      </w:r>
      <w:r w:rsidR="00CA4CDA">
        <w:rPr>
          <w:rFonts w:ascii="Bookman Old Style" w:hAnsi="Bookman Old Style"/>
          <w:b/>
          <w:bCs/>
          <w:sz w:val="22"/>
          <w:szCs w:val="22"/>
        </w:rPr>
        <w:t xml:space="preserve"> </w:t>
      </w:r>
      <w:r w:rsidR="00376DB3">
        <w:rPr>
          <w:rFonts w:ascii="Bookman Old Style" w:hAnsi="Bookman Old Style"/>
          <w:b/>
          <w:bCs/>
          <w:sz w:val="22"/>
          <w:szCs w:val="22"/>
        </w:rPr>
        <w:t>-</w:t>
      </w:r>
      <w:r w:rsidR="00CA4CDA">
        <w:rPr>
          <w:rFonts w:ascii="Bookman Old Style" w:hAnsi="Bookman Old Style"/>
          <w:b/>
          <w:bCs/>
          <w:sz w:val="22"/>
          <w:szCs w:val="22"/>
        </w:rPr>
        <w:t xml:space="preserve"> </w:t>
      </w:r>
      <w:r w:rsidR="00376DB3">
        <w:rPr>
          <w:rFonts w:ascii="Bookman Old Style" w:hAnsi="Bookman Old Style"/>
          <w:b/>
          <w:bCs/>
          <w:sz w:val="22"/>
          <w:szCs w:val="22"/>
        </w:rPr>
        <w:t>Comuni</w:t>
      </w:r>
      <w:bookmarkEnd w:id="1"/>
      <w:r w:rsidR="00376DB3">
        <w:rPr>
          <w:rFonts w:ascii="Bookman Old Style" w:hAnsi="Bookman Old Style"/>
          <w:b/>
          <w:bCs/>
          <w:sz w:val="22"/>
          <w:szCs w:val="22"/>
        </w:rPr>
        <w:t xml:space="preserve"> </w:t>
      </w:r>
    </w:p>
    <w:p w14:paraId="7E666CB2" w14:textId="511E4AD2" w:rsidR="00BB66DA" w:rsidRPr="00521A02" w:rsidRDefault="00BB66DA" w:rsidP="00B92CB6">
      <w:pPr>
        <w:spacing w:after="80"/>
        <w:jc w:val="both"/>
        <w:rPr>
          <w:rFonts w:ascii="Bookman Old Style" w:hAnsi="Bookman Old Style"/>
        </w:rPr>
      </w:pPr>
      <w:r w:rsidRPr="00521A02">
        <w:rPr>
          <w:rFonts w:ascii="Bookman Old Style" w:hAnsi="Bookman Old Style"/>
        </w:rPr>
        <w:t>La tabella seguente sintetizza le riduzioni (e il contributo generalizzato da regolazione fondi Covid) in vigore tra il 2025 e il 2029, per effetto di leggi precedenti (in particolare la Legge di bilancio 2024) e del</w:t>
      </w:r>
      <w:r w:rsidR="005D70DE" w:rsidRPr="00521A02">
        <w:rPr>
          <w:rFonts w:ascii="Bookman Old Style" w:hAnsi="Bookman Old Style"/>
        </w:rPr>
        <w:t xml:space="preserve">la Legge di </w:t>
      </w:r>
      <w:r w:rsidRPr="00521A02">
        <w:rPr>
          <w:rFonts w:ascii="Bookman Old Style" w:hAnsi="Bookman Old Style"/>
        </w:rPr>
        <w:t>Bilancio 2025</w:t>
      </w:r>
      <w:r w:rsidR="003E550E">
        <w:rPr>
          <w:rFonts w:ascii="Bookman Old Style" w:hAnsi="Bookman Old Style"/>
        </w:rPr>
        <w:t xml:space="preserve"> (</w:t>
      </w:r>
      <w:r w:rsidR="00493143">
        <w:rPr>
          <w:rFonts w:ascii="Bookman Old Style" w:hAnsi="Bookman Old Style"/>
        </w:rPr>
        <w:t xml:space="preserve">commi </w:t>
      </w:r>
      <w:r w:rsidR="0048759C">
        <w:rPr>
          <w:rFonts w:ascii="Bookman Old Style" w:hAnsi="Bookman Old Style"/>
        </w:rPr>
        <w:t>788-790</w:t>
      </w:r>
      <w:r w:rsidR="00493143">
        <w:rPr>
          <w:rFonts w:ascii="Bookman Old Style" w:hAnsi="Bookman Old Style"/>
        </w:rPr>
        <w:t>)</w:t>
      </w:r>
      <w:r w:rsidRPr="00521A02">
        <w:rPr>
          <w:rFonts w:ascii="Bookman Old Style" w:hAnsi="Bookman Old Style"/>
        </w:rPr>
        <w:t xml:space="preserve">. Si sottolinea come, per gli anni 2025-2029, il taglio previsto ha la forma di accantonamento di parte corrente non spendibile, che potrà essere utilizzato l’anno successivo per il finanziamento di investimenti o </w:t>
      </w:r>
      <w:r w:rsidR="00D01386">
        <w:rPr>
          <w:rFonts w:ascii="Bookman Old Style" w:hAnsi="Bookman Old Style"/>
        </w:rPr>
        <w:t xml:space="preserve">- </w:t>
      </w:r>
      <w:r w:rsidR="00D01386" w:rsidRPr="00521A02">
        <w:rPr>
          <w:rFonts w:ascii="Bookman Old Style" w:hAnsi="Bookman Old Style"/>
        </w:rPr>
        <w:t xml:space="preserve">in caso di disavanzo </w:t>
      </w:r>
      <w:r w:rsidR="006632DA">
        <w:rPr>
          <w:rFonts w:ascii="Bookman Old Style" w:hAnsi="Bookman Old Style"/>
        </w:rPr>
        <w:t>–</w:t>
      </w:r>
      <w:r w:rsidR="00D01386">
        <w:rPr>
          <w:rFonts w:ascii="Bookman Old Style" w:hAnsi="Bookman Old Style"/>
        </w:rPr>
        <w:t xml:space="preserve"> dovrà</w:t>
      </w:r>
      <w:r w:rsidR="006632DA">
        <w:rPr>
          <w:rFonts w:ascii="Bookman Old Style" w:hAnsi="Bookman Old Style"/>
        </w:rPr>
        <w:t xml:space="preserve"> essere destinato al maggior ripiano</w:t>
      </w:r>
      <w:r w:rsidRPr="00521A02">
        <w:rPr>
          <w:rFonts w:ascii="Bookman Old Style" w:hAnsi="Bookman Old Style"/>
        </w:rPr>
        <w:t xml:space="preserve">. </w:t>
      </w:r>
    </w:p>
    <w:p w14:paraId="3A64D430" w14:textId="04501979" w:rsidR="00BB66DA" w:rsidRPr="00521A02" w:rsidRDefault="00D722C8" w:rsidP="00B92CB6">
      <w:pPr>
        <w:spacing w:after="80"/>
        <w:jc w:val="center"/>
        <w:rPr>
          <w:rFonts w:ascii="Bookman Old Style" w:hAnsi="Bookman Old Style"/>
        </w:rPr>
      </w:pPr>
      <w:r w:rsidRPr="00D722C8">
        <w:rPr>
          <w:noProof/>
        </w:rPr>
        <w:drawing>
          <wp:inline distT="0" distB="0" distL="0" distR="0" wp14:anchorId="680CCB12" wp14:editId="21D9771D">
            <wp:extent cx="5529533" cy="2846235"/>
            <wp:effectExtent l="0" t="0" r="0" b="0"/>
            <wp:docPr id="182094405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7012" cy="2850085"/>
                    </a:xfrm>
                    <a:prstGeom prst="rect">
                      <a:avLst/>
                    </a:prstGeom>
                    <a:noFill/>
                    <a:ln>
                      <a:noFill/>
                    </a:ln>
                  </pic:spPr>
                </pic:pic>
              </a:graphicData>
            </a:graphic>
          </wp:inline>
        </w:drawing>
      </w:r>
    </w:p>
    <w:p w14:paraId="041B0845" w14:textId="77777777" w:rsidR="00F663FD" w:rsidRDefault="00F663FD" w:rsidP="00B92CB6">
      <w:pPr>
        <w:spacing w:after="80"/>
        <w:jc w:val="both"/>
        <w:rPr>
          <w:rFonts w:ascii="Bookman Old Style" w:hAnsi="Bookman Old Style"/>
        </w:rPr>
      </w:pPr>
    </w:p>
    <w:p w14:paraId="6F0692D0" w14:textId="5FE862EF" w:rsidR="00F663FD" w:rsidRPr="00521A02" w:rsidRDefault="00F663FD" w:rsidP="00B92CB6">
      <w:pPr>
        <w:pStyle w:val="Titolo2"/>
        <w:numPr>
          <w:ilvl w:val="0"/>
          <w:numId w:val="39"/>
        </w:numPr>
        <w:spacing w:before="0"/>
        <w:rPr>
          <w:rFonts w:ascii="Bookman Old Style" w:hAnsi="Bookman Old Style"/>
          <w:b/>
          <w:bCs/>
          <w:sz w:val="22"/>
          <w:szCs w:val="22"/>
        </w:rPr>
      </w:pPr>
      <w:bookmarkStart w:id="2" w:name="_Toc185605202"/>
      <w:r w:rsidRPr="00521A02">
        <w:rPr>
          <w:rFonts w:ascii="Bookman Old Style" w:hAnsi="Bookman Old Style"/>
          <w:b/>
          <w:bCs/>
          <w:sz w:val="22"/>
          <w:szCs w:val="22"/>
        </w:rPr>
        <w:t>Le ulteriori restrizioni di parte corrente</w:t>
      </w:r>
      <w:r>
        <w:rPr>
          <w:rFonts w:ascii="Bookman Old Style" w:hAnsi="Bookman Old Style"/>
          <w:b/>
          <w:bCs/>
          <w:sz w:val="22"/>
          <w:szCs w:val="22"/>
        </w:rPr>
        <w:t xml:space="preserve"> – Città metropolitane</w:t>
      </w:r>
      <w:bookmarkEnd w:id="2"/>
      <w:r>
        <w:rPr>
          <w:rFonts w:ascii="Bookman Old Style" w:hAnsi="Bookman Old Style"/>
          <w:b/>
          <w:bCs/>
          <w:sz w:val="22"/>
          <w:szCs w:val="22"/>
        </w:rPr>
        <w:t xml:space="preserve"> </w:t>
      </w:r>
    </w:p>
    <w:p w14:paraId="342C1969" w14:textId="77777777" w:rsidR="00F663FD" w:rsidRDefault="00BB66DA" w:rsidP="00B92CB6">
      <w:pPr>
        <w:spacing w:after="80"/>
        <w:jc w:val="both"/>
        <w:rPr>
          <w:rFonts w:ascii="Bookman Old Style" w:hAnsi="Bookman Old Style"/>
        </w:rPr>
      </w:pPr>
      <w:r w:rsidRPr="00521A02">
        <w:rPr>
          <w:rFonts w:ascii="Bookman Old Style" w:hAnsi="Bookman Old Style"/>
        </w:rPr>
        <w:t xml:space="preserve">Le Città </w:t>
      </w:r>
      <w:r w:rsidR="005D70DE" w:rsidRPr="00521A02">
        <w:rPr>
          <w:rFonts w:ascii="Bookman Old Style" w:hAnsi="Bookman Old Style"/>
        </w:rPr>
        <w:t>M</w:t>
      </w:r>
      <w:r w:rsidRPr="00521A02">
        <w:rPr>
          <w:rFonts w:ascii="Bookman Old Style" w:hAnsi="Bookman Old Style"/>
        </w:rPr>
        <w:t xml:space="preserve">etropolitane concorrono per circa il 35% al taglio complessivo per Province e CM, di 100 mln. già in vigore per il 2025 e di 50 mln. annui per il 2026-28. </w:t>
      </w:r>
    </w:p>
    <w:p w14:paraId="492D0217" w14:textId="77F45EFD" w:rsidR="00BB66DA" w:rsidRDefault="005D70DE" w:rsidP="00B92CB6">
      <w:pPr>
        <w:spacing w:after="80"/>
        <w:jc w:val="both"/>
        <w:rPr>
          <w:rFonts w:ascii="Bookman Old Style" w:hAnsi="Bookman Old Style"/>
        </w:rPr>
      </w:pPr>
      <w:r w:rsidRPr="00521A02">
        <w:rPr>
          <w:rFonts w:ascii="Bookman Old Style" w:hAnsi="Bookman Old Style"/>
        </w:rPr>
        <w:t>La legge di</w:t>
      </w:r>
      <w:r w:rsidR="00BB66DA" w:rsidRPr="00521A02">
        <w:rPr>
          <w:rFonts w:ascii="Bookman Old Style" w:hAnsi="Bookman Old Style"/>
        </w:rPr>
        <w:t xml:space="preserve"> Bilancio</w:t>
      </w:r>
      <w:r w:rsidR="00332CCC">
        <w:rPr>
          <w:rFonts w:ascii="Bookman Old Style" w:hAnsi="Bookman Old Style"/>
        </w:rPr>
        <w:t xml:space="preserve"> 2025</w:t>
      </w:r>
      <w:r w:rsidR="00BB66DA" w:rsidRPr="00521A02">
        <w:rPr>
          <w:rFonts w:ascii="Bookman Old Style" w:hAnsi="Bookman Old Style"/>
        </w:rPr>
        <w:t xml:space="preserve"> </w:t>
      </w:r>
      <w:r w:rsidR="00C66141">
        <w:rPr>
          <w:rFonts w:ascii="Bookman Old Style" w:hAnsi="Bookman Old Style"/>
        </w:rPr>
        <w:t>(co.</w:t>
      </w:r>
      <w:r w:rsidR="00623C00">
        <w:rPr>
          <w:rFonts w:ascii="Bookman Old Style" w:hAnsi="Bookman Old Style"/>
        </w:rPr>
        <w:t xml:space="preserve"> 788-790)</w:t>
      </w:r>
      <w:r w:rsidR="00C66141">
        <w:rPr>
          <w:rFonts w:ascii="Bookman Old Style" w:hAnsi="Bookman Old Style"/>
        </w:rPr>
        <w:t xml:space="preserve"> </w:t>
      </w:r>
      <w:r w:rsidR="00BB66DA" w:rsidRPr="00521A02">
        <w:rPr>
          <w:rFonts w:ascii="Bookman Old Style" w:hAnsi="Bookman Old Style"/>
        </w:rPr>
        <w:t xml:space="preserve">aggiunge obblighi di accantonamento </w:t>
      </w:r>
      <w:r w:rsidR="00F663FD">
        <w:rPr>
          <w:rFonts w:ascii="Bookman Old Style" w:hAnsi="Bookman Old Style"/>
        </w:rPr>
        <w:t>di</w:t>
      </w:r>
      <w:r w:rsidR="00BB66DA" w:rsidRPr="00521A02">
        <w:rPr>
          <w:rFonts w:ascii="Bookman Old Style" w:hAnsi="Bookman Old Style"/>
        </w:rPr>
        <w:t xml:space="preserve"> 10 mln. nel 2025, </w:t>
      </w:r>
      <w:r w:rsidR="00F663FD">
        <w:rPr>
          <w:rFonts w:ascii="Bookman Old Style" w:hAnsi="Bookman Old Style"/>
        </w:rPr>
        <w:t xml:space="preserve">di </w:t>
      </w:r>
      <w:r w:rsidR="00BB66DA" w:rsidRPr="00521A02">
        <w:rPr>
          <w:rFonts w:ascii="Bookman Old Style" w:hAnsi="Bookman Old Style"/>
        </w:rPr>
        <w:t>30 mln. per il 2026-28 e di 50 mln. nel 2029. Il totale del contributo alla finanza pubblica nel 2025-29 ammonta a 400 mln. (di cui circa 140 mln. a carico delle CM).</w:t>
      </w:r>
    </w:p>
    <w:p w14:paraId="626946B5" w14:textId="6CD46E0F" w:rsidR="0032324C" w:rsidRDefault="0032324C" w:rsidP="00B92CB6">
      <w:pPr>
        <w:pStyle w:val="Titolo2"/>
        <w:numPr>
          <w:ilvl w:val="0"/>
          <w:numId w:val="39"/>
        </w:numPr>
        <w:spacing w:before="0"/>
        <w:rPr>
          <w:rFonts w:ascii="Bookman Old Style" w:hAnsi="Bookman Old Style"/>
          <w:b/>
          <w:bCs/>
          <w:sz w:val="22"/>
          <w:szCs w:val="22"/>
        </w:rPr>
      </w:pPr>
      <w:bookmarkStart w:id="3" w:name="_Toc185605203"/>
      <w:r>
        <w:rPr>
          <w:rFonts w:ascii="Bookman Old Style" w:hAnsi="Bookman Old Style"/>
          <w:b/>
          <w:bCs/>
          <w:sz w:val="22"/>
          <w:szCs w:val="22"/>
        </w:rPr>
        <w:t>Modifiche al saldo di bilancio</w:t>
      </w:r>
      <w:r w:rsidR="00D773C9">
        <w:rPr>
          <w:rFonts w:ascii="Bookman Old Style" w:hAnsi="Bookman Old Style"/>
          <w:b/>
          <w:bCs/>
          <w:sz w:val="22"/>
          <w:szCs w:val="22"/>
        </w:rPr>
        <w:t xml:space="preserve"> e strumenti controllo</w:t>
      </w:r>
      <w:bookmarkEnd w:id="3"/>
    </w:p>
    <w:p w14:paraId="28BDCA4C" w14:textId="383EFA0D" w:rsidR="00847164" w:rsidRPr="000A54C6" w:rsidRDefault="00B9317C" w:rsidP="00B92CB6">
      <w:pPr>
        <w:spacing w:after="80"/>
        <w:jc w:val="both"/>
        <w:rPr>
          <w:rFonts w:ascii="Bookman Old Style" w:hAnsi="Bookman Old Style"/>
        </w:rPr>
      </w:pPr>
      <w:r w:rsidRPr="000A54C6">
        <w:rPr>
          <w:rFonts w:ascii="Bookman Old Style" w:hAnsi="Bookman Old Style"/>
        </w:rPr>
        <w:t xml:space="preserve">Il comma 785 dispone </w:t>
      </w:r>
      <w:r w:rsidRPr="00C24592">
        <w:rPr>
          <w:rFonts w:ascii="Bookman Old Style" w:hAnsi="Bookman Old Style"/>
          <w:b/>
          <w:bCs/>
        </w:rPr>
        <w:t>modifiche alla nozione di pareggio di bilancio</w:t>
      </w:r>
      <w:r w:rsidRPr="000A54C6">
        <w:rPr>
          <w:rFonts w:ascii="Bookman Old Style" w:hAnsi="Bookman Old Style"/>
        </w:rPr>
        <w:t xml:space="preserve"> (co.821 lella legge </w:t>
      </w:r>
      <w:r w:rsidR="00E84BF4" w:rsidRPr="000A54C6">
        <w:rPr>
          <w:rFonts w:ascii="Bookman Old Style" w:hAnsi="Bookman Old Style"/>
        </w:rPr>
        <w:t xml:space="preserve">145/2018), indicando </w:t>
      </w:r>
      <w:r w:rsidR="0021020F">
        <w:rPr>
          <w:rFonts w:ascii="Bookman Old Style" w:hAnsi="Bookman Old Style"/>
        </w:rPr>
        <w:t xml:space="preserve">dal 2025 </w:t>
      </w:r>
      <w:r w:rsidR="00E84BF4" w:rsidRPr="000A54C6">
        <w:rPr>
          <w:rFonts w:ascii="Bookman Old Style" w:hAnsi="Bookman Old Style"/>
        </w:rPr>
        <w:t xml:space="preserve">l’obbligo di rispetto di un </w:t>
      </w:r>
      <w:r w:rsidR="002B3FDC" w:rsidRPr="000A54C6">
        <w:rPr>
          <w:rFonts w:ascii="Bookman Old Style" w:hAnsi="Bookman Old Style"/>
        </w:rPr>
        <w:t>“</w:t>
      </w:r>
      <w:r w:rsidR="00177B3D" w:rsidRPr="00177B3D">
        <w:rPr>
          <w:rFonts w:ascii="Bookman Old Style" w:hAnsi="Bookman Old Style"/>
          <w:i/>
          <w:iCs/>
        </w:rPr>
        <w:t>saldo non</w:t>
      </w:r>
      <w:r w:rsidR="002B3FDC" w:rsidRPr="000A54C6">
        <w:rPr>
          <w:rFonts w:ascii="Bookman Old Style" w:hAnsi="Bookman Old Style"/>
          <w:i/>
          <w:iCs/>
        </w:rPr>
        <w:t xml:space="preserve"> </w:t>
      </w:r>
      <w:r w:rsidR="00177B3D" w:rsidRPr="00177B3D">
        <w:rPr>
          <w:rFonts w:ascii="Bookman Old Style" w:hAnsi="Bookman Old Style"/>
          <w:i/>
          <w:iCs/>
        </w:rPr>
        <w:t>negativo tra le entrate e le spese di competenza</w:t>
      </w:r>
      <w:r w:rsidR="002B3FDC" w:rsidRPr="000A54C6">
        <w:rPr>
          <w:rFonts w:ascii="Bookman Old Style" w:hAnsi="Bookman Old Style"/>
          <w:i/>
          <w:iCs/>
        </w:rPr>
        <w:t xml:space="preserve"> </w:t>
      </w:r>
      <w:r w:rsidR="00177B3D" w:rsidRPr="00177B3D">
        <w:rPr>
          <w:rFonts w:ascii="Bookman Old Style" w:hAnsi="Bookman Old Style"/>
          <w:i/>
          <w:iCs/>
        </w:rPr>
        <w:t>finanziaria del bilancio, comprensivo</w:t>
      </w:r>
      <w:r w:rsidR="002B3FDC" w:rsidRPr="000A54C6">
        <w:rPr>
          <w:rFonts w:ascii="Bookman Old Style" w:hAnsi="Bookman Old Style"/>
          <w:i/>
          <w:iCs/>
        </w:rPr>
        <w:t xml:space="preserve"> </w:t>
      </w:r>
      <w:r w:rsidR="00177B3D" w:rsidRPr="00177B3D">
        <w:rPr>
          <w:rFonts w:ascii="Bookman Old Style" w:hAnsi="Bookman Old Style"/>
          <w:i/>
          <w:iCs/>
        </w:rPr>
        <w:t>dell’utilizzo dell’avanzo di amministrazione</w:t>
      </w:r>
      <w:r w:rsidR="002B3FDC" w:rsidRPr="000A54C6">
        <w:rPr>
          <w:rFonts w:ascii="Bookman Old Style" w:hAnsi="Bookman Old Style"/>
          <w:i/>
          <w:iCs/>
        </w:rPr>
        <w:t xml:space="preserve"> </w:t>
      </w:r>
      <w:r w:rsidR="00177B3D" w:rsidRPr="00177B3D">
        <w:rPr>
          <w:rFonts w:ascii="Bookman Old Style" w:hAnsi="Bookman Old Style"/>
          <w:i/>
          <w:iCs/>
        </w:rPr>
        <w:t>e del recupero del disavanzo di amministrazione</w:t>
      </w:r>
      <w:r w:rsidR="002B3FDC" w:rsidRPr="000A54C6">
        <w:rPr>
          <w:rFonts w:ascii="Bookman Old Style" w:hAnsi="Bookman Old Style"/>
          <w:i/>
          <w:iCs/>
        </w:rPr>
        <w:t xml:space="preserve"> </w:t>
      </w:r>
      <w:r w:rsidR="00177B3D" w:rsidRPr="00177B3D">
        <w:rPr>
          <w:rFonts w:ascii="Bookman Old Style" w:hAnsi="Bookman Old Style"/>
          <w:i/>
          <w:iCs/>
        </w:rPr>
        <w:t>e degli utilizzi del fondo pluriennale</w:t>
      </w:r>
      <w:r w:rsidR="002B3FDC" w:rsidRPr="000A54C6">
        <w:rPr>
          <w:rFonts w:ascii="Bookman Old Style" w:hAnsi="Bookman Old Style"/>
          <w:i/>
          <w:iCs/>
        </w:rPr>
        <w:t xml:space="preserve"> </w:t>
      </w:r>
      <w:r w:rsidR="00177B3D" w:rsidRPr="00177B3D">
        <w:rPr>
          <w:rFonts w:ascii="Bookman Old Style" w:hAnsi="Bookman Old Style"/>
          <w:i/>
          <w:iCs/>
        </w:rPr>
        <w:t>vincolato, al netto delle entrate</w:t>
      </w:r>
      <w:r w:rsidR="002B3FDC" w:rsidRPr="000A54C6">
        <w:rPr>
          <w:rFonts w:ascii="Bookman Old Style" w:hAnsi="Bookman Old Style"/>
          <w:i/>
          <w:iCs/>
        </w:rPr>
        <w:t xml:space="preserve"> </w:t>
      </w:r>
      <w:r w:rsidR="00177B3D" w:rsidRPr="00177B3D">
        <w:rPr>
          <w:rFonts w:ascii="Bookman Old Style" w:hAnsi="Bookman Old Style"/>
          <w:i/>
          <w:iCs/>
        </w:rPr>
        <w:t>vincolate e accantonate non utilizzate nel</w:t>
      </w:r>
      <w:r w:rsidR="002B3FDC" w:rsidRPr="000A54C6">
        <w:rPr>
          <w:rFonts w:ascii="Bookman Old Style" w:hAnsi="Bookman Old Style"/>
          <w:i/>
          <w:iCs/>
        </w:rPr>
        <w:t xml:space="preserve"> </w:t>
      </w:r>
      <w:r w:rsidR="00177B3D" w:rsidRPr="000A54C6">
        <w:rPr>
          <w:rFonts w:ascii="Bookman Old Style" w:hAnsi="Bookman Old Style"/>
          <w:i/>
          <w:iCs/>
        </w:rPr>
        <w:t>corso dell’esercizio</w:t>
      </w:r>
      <w:r w:rsidR="002B3FDC" w:rsidRPr="000A54C6">
        <w:rPr>
          <w:rFonts w:ascii="Bookman Old Style" w:hAnsi="Bookman Old Style"/>
        </w:rPr>
        <w:t>”</w:t>
      </w:r>
      <w:r w:rsidR="00177B3D" w:rsidRPr="000A54C6">
        <w:rPr>
          <w:rFonts w:ascii="Bookman Old Style" w:hAnsi="Bookman Old Style"/>
        </w:rPr>
        <w:t>.</w:t>
      </w:r>
      <w:r w:rsidR="002B3FDC" w:rsidRPr="000A54C6">
        <w:rPr>
          <w:rFonts w:ascii="Bookman Old Style" w:hAnsi="Bookman Old Style"/>
        </w:rPr>
        <w:t xml:space="preserve"> </w:t>
      </w:r>
    </w:p>
    <w:p w14:paraId="33C874BF" w14:textId="5FDD3EA0" w:rsidR="00177B3D" w:rsidRPr="000A54C6" w:rsidRDefault="002B3FDC" w:rsidP="00B92CB6">
      <w:pPr>
        <w:spacing w:after="80"/>
        <w:jc w:val="both"/>
        <w:rPr>
          <w:rFonts w:ascii="Bookman Old Style" w:hAnsi="Bookman Old Style"/>
        </w:rPr>
      </w:pPr>
      <w:r w:rsidRPr="000A54C6">
        <w:rPr>
          <w:rFonts w:ascii="Bookman Old Style" w:hAnsi="Bookman Old Style"/>
        </w:rPr>
        <w:t xml:space="preserve">Tale nozione, più restrittiva </w:t>
      </w:r>
      <w:r w:rsidR="004E7FBD" w:rsidRPr="000A54C6">
        <w:rPr>
          <w:rFonts w:ascii="Bookman Old Style" w:hAnsi="Bookman Old Style"/>
        </w:rPr>
        <w:t xml:space="preserve">di quella finora considerata è tuttavia controllata </w:t>
      </w:r>
      <w:r w:rsidR="004E7FBD" w:rsidRPr="000A54C6">
        <w:rPr>
          <w:rFonts w:ascii="Bookman Old Style" w:hAnsi="Bookman Old Style"/>
          <w:b/>
          <w:bCs/>
        </w:rPr>
        <w:t>a livello di</w:t>
      </w:r>
      <w:r w:rsidR="004E7FBD" w:rsidRPr="000A54C6">
        <w:rPr>
          <w:rFonts w:ascii="Bookman Old Style" w:hAnsi="Bookman Old Style"/>
          <w:i/>
          <w:iCs/>
        </w:rPr>
        <w:t xml:space="preserve"> </w:t>
      </w:r>
      <w:r w:rsidR="004E7FBD" w:rsidRPr="000A54C6">
        <w:rPr>
          <w:rFonts w:ascii="Bookman Old Style" w:hAnsi="Bookman Old Style"/>
          <w:b/>
          <w:bCs/>
        </w:rPr>
        <w:t>singolo</w:t>
      </w:r>
      <w:r w:rsidR="004E7FBD" w:rsidRPr="000A54C6">
        <w:rPr>
          <w:rFonts w:ascii="Bookman Old Style" w:hAnsi="Bookman Old Style"/>
        </w:rPr>
        <w:t xml:space="preserve"> </w:t>
      </w:r>
      <w:r w:rsidR="004E7FBD" w:rsidRPr="000A54C6">
        <w:rPr>
          <w:rFonts w:ascii="Bookman Old Style" w:hAnsi="Bookman Old Style"/>
          <w:b/>
          <w:bCs/>
        </w:rPr>
        <w:t>comparto</w:t>
      </w:r>
      <w:r w:rsidR="004E7FBD" w:rsidRPr="000A54C6">
        <w:rPr>
          <w:rFonts w:ascii="Bookman Old Style" w:hAnsi="Bookman Old Style"/>
        </w:rPr>
        <w:t xml:space="preserve">. </w:t>
      </w:r>
      <w:r w:rsidR="007805C1" w:rsidRPr="000A54C6">
        <w:rPr>
          <w:rFonts w:ascii="Bookman Old Style" w:hAnsi="Bookman Old Style"/>
        </w:rPr>
        <w:t xml:space="preserve">Il comma 792 stabilisce infatti che </w:t>
      </w:r>
      <w:r w:rsidR="00D535D5" w:rsidRPr="000A54C6">
        <w:rPr>
          <w:rFonts w:ascii="Bookman Old Style" w:hAnsi="Bookman Old Style"/>
        </w:rPr>
        <w:t>dal 2026</w:t>
      </w:r>
      <w:r w:rsidR="000945FE" w:rsidRPr="000A54C6">
        <w:rPr>
          <w:rFonts w:ascii="Bookman Old Style" w:hAnsi="Bookman Old Style"/>
        </w:rPr>
        <w:t>, sulla base dei rendiconti registrati nella BDAP, “</w:t>
      </w:r>
      <w:r w:rsidR="0075141B" w:rsidRPr="000A54C6">
        <w:rPr>
          <w:rFonts w:ascii="Bookman Old Style" w:hAnsi="Bookman Old Style"/>
          <w:i/>
          <w:iCs/>
        </w:rPr>
        <w:t>è verificato il rispetto a livello di comparto degli enti territoriali dell’equilibrio</w:t>
      </w:r>
      <w:r w:rsidR="00590E60" w:rsidRPr="000A54C6">
        <w:rPr>
          <w:rFonts w:ascii="Bookman Old Style" w:hAnsi="Bookman Old Style"/>
        </w:rPr>
        <w:t xml:space="preserve">”, oltre che degli accantonamenti di cui ai punti precedenti. Solo in caso di </w:t>
      </w:r>
      <w:r w:rsidR="004C0EBE" w:rsidRPr="000A54C6">
        <w:rPr>
          <w:rFonts w:ascii="Bookman Old Style" w:hAnsi="Bookman Old Style"/>
        </w:rPr>
        <w:t>squilibrio di comparto, sono individuati gli enti inadempienti ai qu</w:t>
      </w:r>
      <w:r w:rsidR="00F85153" w:rsidRPr="000A54C6">
        <w:rPr>
          <w:rFonts w:ascii="Bookman Old Style" w:hAnsi="Bookman Old Style"/>
        </w:rPr>
        <w:t>a</w:t>
      </w:r>
      <w:r w:rsidR="004C0EBE" w:rsidRPr="000A54C6">
        <w:rPr>
          <w:rFonts w:ascii="Bookman Old Style" w:hAnsi="Bookman Old Style"/>
        </w:rPr>
        <w:t>li viene assegnato un maggior obbligo di accantonamento annuale</w:t>
      </w:r>
      <w:r w:rsidR="00F85153" w:rsidRPr="000A54C6">
        <w:rPr>
          <w:rFonts w:ascii="Bookman Old Style" w:hAnsi="Bookman Old Style"/>
        </w:rPr>
        <w:t xml:space="preserve">. </w:t>
      </w:r>
      <w:r w:rsidR="00847164" w:rsidRPr="000A54C6">
        <w:rPr>
          <w:rFonts w:ascii="Bookman Old Style" w:hAnsi="Bookman Old Style"/>
        </w:rPr>
        <w:t xml:space="preserve">Si ritiene che il comparto di riferimento sia riferibile, distintamente a ciascuno dei sottocomparti in cui sono articolati gli enti </w:t>
      </w:r>
      <w:r w:rsidR="00847164" w:rsidRPr="000A54C6">
        <w:rPr>
          <w:rFonts w:ascii="Bookman Old Style" w:hAnsi="Bookman Old Style"/>
        </w:rPr>
        <w:lastRenderedPageBreak/>
        <w:t>territoriali</w:t>
      </w:r>
      <w:r w:rsidR="0021020F">
        <w:rPr>
          <w:rFonts w:ascii="Bookman Old Style" w:hAnsi="Bookman Old Style"/>
        </w:rPr>
        <w:t xml:space="preserve"> (Comuni, Province, Città metropolitane, Regioni)</w:t>
      </w:r>
      <w:r w:rsidR="00847164" w:rsidRPr="000A54C6">
        <w:rPr>
          <w:rFonts w:ascii="Bookman Old Style" w:hAnsi="Bookman Old Style"/>
        </w:rPr>
        <w:t xml:space="preserve">. Va altresì segnalato che </w:t>
      </w:r>
      <w:r w:rsidR="004E1CBC" w:rsidRPr="000A54C6">
        <w:rPr>
          <w:rFonts w:ascii="Bookman Old Style" w:hAnsi="Bookman Old Style"/>
        </w:rPr>
        <w:t>i dati degli ultimi anni mostrano andament</w:t>
      </w:r>
      <w:r w:rsidR="00C56153">
        <w:rPr>
          <w:rFonts w:ascii="Bookman Old Style" w:hAnsi="Bookman Old Style"/>
        </w:rPr>
        <w:t>i</w:t>
      </w:r>
      <w:r w:rsidR="004E1CBC" w:rsidRPr="000A54C6">
        <w:rPr>
          <w:rFonts w:ascii="Bookman Old Style" w:hAnsi="Bookman Old Style"/>
        </w:rPr>
        <w:t xml:space="preserve"> </w:t>
      </w:r>
      <w:r w:rsidR="00C56153">
        <w:rPr>
          <w:rFonts w:ascii="Bookman Old Style" w:hAnsi="Bookman Old Style"/>
        </w:rPr>
        <w:t xml:space="preserve">costantemente </w:t>
      </w:r>
      <w:r w:rsidR="004E1CBC" w:rsidRPr="000A54C6">
        <w:rPr>
          <w:rFonts w:ascii="Bookman Old Style" w:hAnsi="Bookman Old Style"/>
        </w:rPr>
        <w:t>positiv</w:t>
      </w:r>
      <w:r w:rsidR="00C56153">
        <w:rPr>
          <w:rFonts w:ascii="Bookman Old Style" w:hAnsi="Bookman Old Style"/>
        </w:rPr>
        <w:t>i</w:t>
      </w:r>
      <w:r w:rsidR="004E1CBC" w:rsidRPr="000A54C6">
        <w:rPr>
          <w:rFonts w:ascii="Bookman Old Style" w:hAnsi="Bookman Old Style"/>
        </w:rPr>
        <w:t xml:space="preserve"> del nuovo saldo di bilancio, identificabile nella voce W2 dell’attuale </w:t>
      </w:r>
      <w:r w:rsidR="007906B4" w:rsidRPr="000A54C6">
        <w:rPr>
          <w:rFonts w:ascii="Bookman Old Style" w:hAnsi="Bookman Old Style"/>
        </w:rPr>
        <w:t>prospetto degli equilibri annuali.</w:t>
      </w:r>
    </w:p>
    <w:p w14:paraId="17922CD1" w14:textId="700B1DD8" w:rsidR="00C009E2" w:rsidRDefault="00C009E2" w:rsidP="00B92CB6">
      <w:pPr>
        <w:spacing w:after="80"/>
        <w:jc w:val="both"/>
        <w:rPr>
          <w:rFonts w:ascii="Bookman Old Style" w:hAnsi="Bookman Old Style"/>
        </w:rPr>
      </w:pPr>
      <w:r w:rsidRPr="000A54C6">
        <w:rPr>
          <w:rFonts w:ascii="Bookman Old Style" w:hAnsi="Bookman Old Style"/>
        </w:rPr>
        <w:t xml:space="preserve">Inoltre, il comma 793 accentua le </w:t>
      </w:r>
      <w:r w:rsidRPr="00C24592">
        <w:rPr>
          <w:rFonts w:ascii="Bookman Old Style" w:hAnsi="Bookman Old Style"/>
          <w:b/>
          <w:bCs/>
        </w:rPr>
        <w:t xml:space="preserve">sanzioni applicabili ai ritardi </w:t>
      </w:r>
      <w:r w:rsidR="00F208F6" w:rsidRPr="00C24592">
        <w:rPr>
          <w:rFonts w:ascii="Bookman Old Style" w:hAnsi="Bookman Old Style"/>
          <w:b/>
          <w:bCs/>
        </w:rPr>
        <w:t>nella presentazione del rendiconto</w:t>
      </w:r>
      <w:r w:rsidR="00F208F6" w:rsidRPr="000A54C6">
        <w:rPr>
          <w:rFonts w:ascii="Bookman Old Style" w:hAnsi="Bookman Old Style"/>
        </w:rPr>
        <w:t>. Gli enti che invieranno alla BDAP i dati oltre il termine del 31 maggio</w:t>
      </w:r>
      <w:r w:rsidR="007378DB" w:rsidRPr="000A54C6">
        <w:rPr>
          <w:rFonts w:ascii="Bookman Old Style" w:hAnsi="Bookman Old Style"/>
        </w:rPr>
        <w:t xml:space="preserve"> subiranno un aumento del 10 per</w:t>
      </w:r>
      <w:r w:rsidR="00430DB7">
        <w:rPr>
          <w:rFonts w:ascii="Bookman Old Style" w:hAnsi="Bookman Old Style"/>
        </w:rPr>
        <w:t xml:space="preserve"> </w:t>
      </w:r>
      <w:r w:rsidR="007378DB" w:rsidRPr="000A54C6">
        <w:rPr>
          <w:rFonts w:ascii="Bookman Old Style" w:hAnsi="Bookman Old Style"/>
        </w:rPr>
        <w:t>cento</w:t>
      </w:r>
      <w:r w:rsidR="00430DB7">
        <w:rPr>
          <w:rFonts w:ascii="Bookman Old Style" w:hAnsi="Bookman Old Style"/>
        </w:rPr>
        <w:t xml:space="preserve"> dell’obbligo di accantonamento annuale</w:t>
      </w:r>
      <w:r w:rsidR="001E76A9">
        <w:rPr>
          <w:rFonts w:ascii="Bookman Old Style" w:hAnsi="Bookman Old Style"/>
        </w:rPr>
        <w:t xml:space="preserve">, da applicare </w:t>
      </w:r>
      <w:r w:rsidR="003C3C8F">
        <w:rPr>
          <w:rFonts w:ascii="Bookman Old Style" w:hAnsi="Bookman Old Style"/>
        </w:rPr>
        <w:t>in corso d’anno, a seguito della contestazione</w:t>
      </w:r>
      <w:r w:rsidR="00F52DA8">
        <w:rPr>
          <w:rFonts w:ascii="Bookman Old Style" w:hAnsi="Bookman Old Style"/>
        </w:rPr>
        <w:t xml:space="preserve">, fatti salvi ovviamente i casi di sospensione dell’obbligo previsti </w:t>
      </w:r>
      <w:r w:rsidR="00C24592">
        <w:rPr>
          <w:rFonts w:ascii="Bookman Old Style" w:hAnsi="Bookman Old Style"/>
        </w:rPr>
        <w:t xml:space="preserve">per </w:t>
      </w:r>
      <w:r w:rsidR="00F52DA8">
        <w:rPr>
          <w:rFonts w:ascii="Bookman Old Style" w:hAnsi="Bookman Old Style"/>
        </w:rPr>
        <w:t>legge</w:t>
      </w:r>
      <w:r w:rsidR="00C24592">
        <w:rPr>
          <w:rFonts w:ascii="Bookman Old Style" w:hAnsi="Bookman Old Style"/>
        </w:rPr>
        <w:t>.</w:t>
      </w:r>
    </w:p>
    <w:p w14:paraId="2389D87F" w14:textId="4B284393" w:rsidR="00816AB7" w:rsidRDefault="00CC5DCE" w:rsidP="00B92CB6">
      <w:pPr>
        <w:spacing w:after="80"/>
        <w:jc w:val="both"/>
        <w:rPr>
          <w:rFonts w:ascii="Bookman Old Style" w:hAnsi="Bookman Old Style"/>
        </w:rPr>
      </w:pPr>
      <w:r>
        <w:rPr>
          <w:rFonts w:ascii="Bookman Old Style" w:hAnsi="Bookman Old Style"/>
        </w:rPr>
        <w:t xml:space="preserve">Al fine di facilitare i controlli sugli andamenti della finanza degli enti territoriali, il comma 794 </w:t>
      </w:r>
      <w:r w:rsidR="00AA3EE9">
        <w:rPr>
          <w:rFonts w:ascii="Bookman Old Style" w:hAnsi="Bookman Old Style"/>
        </w:rPr>
        <w:t>prevede l’emanazione di un provvedimento RGS</w:t>
      </w:r>
      <w:r w:rsidR="00780E15">
        <w:rPr>
          <w:rFonts w:ascii="Bookman Old Style" w:hAnsi="Bookman Old Style"/>
        </w:rPr>
        <w:t xml:space="preserve"> </w:t>
      </w:r>
      <w:r w:rsidR="006D7A87">
        <w:rPr>
          <w:rFonts w:ascii="Bookman Old Style" w:hAnsi="Bookman Old Style"/>
        </w:rPr>
        <w:t>(</w:t>
      </w:r>
      <w:r w:rsidR="00780E15">
        <w:rPr>
          <w:rFonts w:ascii="Bookman Old Style" w:hAnsi="Bookman Old Style"/>
        </w:rPr>
        <w:t>concertato con il Dipartimento Affari</w:t>
      </w:r>
      <w:r w:rsidR="00A971FD">
        <w:rPr>
          <w:rFonts w:ascii="Bookman Old Style" w:hAnsi="Bookman Old Style"/>
        </w:rPr>
        <w:t xml:space="preserve"> interni e territoriali </w:t>
      </w:r>
      <w:r w:rsidR="006D7A87">
        <w:rPr>
          <w:rFonts w:ascii="Bookman Old Style" w:hAnsi="Bookman Old Style"/>
        </w:rPr>
        <w:t xml:space="preserve">dell’Interno e il Dipartimento </w:t>
      </w:r>
      <w:r w:rsidR="00D46E80">
        <w:rPr>
          <w:rFonts w:ascii="Bookman Old Style" w:hAnsi="Bookman Old Style"/>
        </w:rPr>
        <w:t xml:space="preserve">Affari regionali e autonomie della Presidenza del Consiglio) </w:t>
      </w:r>
      <w:r w:rsidR="00780E15">
        <w:rPr>
          <w:rFonts w:ascii="Bookman Old Style" w:hAnsi="Bookman Old Style"/>
        </w:rPr>
        <w:t xml:space="preserve">per </w:t>
      </w:r>
      <w:r w:rsidR="00780E15" w:rsidRPr="00925A92">
        <w:rPr>
          <w:rFonts w:ascii="Bookman Old Style" w:hAnsi="Bookman Old Style"/>
          <w:b/>
          <w:bCs/>
        </w:rPr>
        <w:t xml:space="preserve">l’adeguamento </w:t>
      </w:r>
      <w:r w:rsidR="00E972C7" w:rsidRPr="00925A92">
        <w:rPr>
          <w:rFonts w:ascii="Bookman Old Style" w:hAnsi="Bookman Old Style"/>
          <w:b/>
          <w:bCs/>
        </w:rPr>
        <w:t>degli schemi del rendiconto</w:t>
      </w:r>
      <w:r w:rsidR="00E972C7">
        <w:rPr>
          <w:rFonts w:ascii="Bookman Old Style" w:hAnsi="Bookman Old Style"/>
        </w:rPr>
        <w:t xml:space="preserve"> </w:t>
      </w:r>
      <w:r w:rsidR="00925A92">
        <w:rPr>
          <w:rFonts w:ascii="Bookman Old Style" w:hAnsi="Bookman Old Style"/>
        </w:rPr>
        <w:t>applicabili dai risultati del 2025.</w:t>
      </w:r>
    </w:p>
    <w:p w14:paraId="4F86458F" w14:textId="082A686B" w:rsidR="004D0FA3" w:rsidRPr="00F44167" w:rsidRDefault="004D0FA3" w:rsidP="00B92CB6">
      <w:pPr>
        <w:spacing w:after="80"/>
        <w:jc w:val="both"/>
        <w:rPr>
          <w:rFonts w:ascii="Bookman Old Style" w:hAnsi="Bookman Old Style"/>
        </w:rPr>
      </w:pPr>
      <w:r>
        <w:rPr>
          <w:rFonts w:ascii="Bookman Old Style" w:hAnsi="Bookman Old Style"/>
        </w:rPr>
        <w:t xml:space="preserve">Infine, con il comma </w:t>
      </w:r>
      <w:r w:rsidR="00EA2D2D">
        <w:rPr>
          <w:rFonts w:ascii="Bookman Old Style" w:hAnsi="Bookman Old Style"/>
        </w:rPr>
        <w:t xml:space="preserve">795 è istituito </w:t>
      </w:r>
      <w:r w:rsidR="00EA2D2D" w:rsidRPr="00FD7278">
        <w:rPr>
          <w:rFonts w:ascii="Bookman Old Style" w:hAnsi="Bookman Old Style"/>
          <w:b/>
          <w:bCs/>
        </w:rPr>
        <w:t xml:space="preserve">un </w:t>
      </w:r>
      <w:r w:rsidR="004269EF" w:rsidRPr="00FD7278">
        <w:rPr>
          <w:rFonts w:ascii="Bookman Old Style" w:hAnsi="Bookman Old Style"/>
          <w:b/>
          <w:bCs/>
        </w:rPr>
        <w:t>“tavolo tecnico”, con la partecipazione di rappresentanti dell’Anci e dell’Upi</w:t>
      </w:r>
      <w:r w:rsidR="003343D6" w:rsidRPr="00FD7278">
        <w:rPr>
          <w:rFonts w:ascii="Bookman Old Style" w:hAnsi="Bookman Old Style"/>
          <w:b/>
          <w:bCs/>
        </w:rPr>
        <w:t xml:space="preserve"> per l’osservazione dell’andamento delle grandezze finanziarie </w:t>
      </w:r>
      <w:r w:rsidR="00F44167" w:rsidRPr="00FD7278">
        <w:rPr>
          <w:rFonts w:ascii="Bookman Old Style" w:hAnsi="Bookman Old Style"/>
          <w:b/>
          <w:bCs/>
        </w:rPr>
        <w:t>degli enti locali</w:t>
      </w:r>
      <w:r w:rsidR="00F44167">
        <w:rPr>
          <w:rFonts w:ascii="Bookman Old Style" w:hAnsi="Bookman Old Style"/>
        </w:rPr>
        <w:t xml:space="preserve"> in relazione alle nuove regole di </w:t>
      </w:r>
      <w:r w:rsidR="00F44167">
        <w:rPr>
          <w:rFonts w:ascii="Bookman Old Style" w:hAnsi="Bookman Old Style"/>
          <w:i/>
          <w:iCs/>
        </w:rPr>
        <w:t xml:space="preserve">governance </w:t>
      </w:r>
      <w:r w:rsidR="00F44167">
        <w:rPr>
          <w:rFonts w:ascii="Bookman Old Style" w:hAnsi="Bookman Old Style"/>
        </w:rPr>
        <w:t xml:space="preserve">e con riferimento ai </w:t>
      </w:r>
      <w:r w:rsidR="00212070">
        <w:rPr>
          <w:rFonts w:ascii="Bookman Old Style" w:hAnsi="Bookman Old Style"/>
        </w:rPr>
        <w:t xml:space="preserve">problemi della riscossione delle entrate, </w:t>
      </w:r>
      <w:r w:rsidR="00BD23A0">
        <w:rPr>
          <w:rFonts w:ascii="Bookman Old Style" w:hAnsi="Bookman Old Style"/>
        </w:rPr>
        <w:t>al</w:t>
      </w:r>
      <w:r w:rsidR="00212070">
        <w:rPr>
          <w:rFonts w:ascii="Bookman Old Style" w:hAnsi="Bookman Old Style"/>
        </w:rPr>
        <w:t xml:space="preserve">la </w:t>
      </w:r>
      <w:r w:rsidR="00C1408E">
        <w:rPr>
          <w:rFonts w:ascii="Bookman Old Style" w:hAnsi="Bookman Old Style"/>
        </w:rPr>
        <w:t xml:space="preserve">valorizzazione </w:t>
      </w:r>
      <w:r w:rsidR="00212070">
        <w:rPr>
          <w:rFonts w:ascii="Bookman Old Style" w:hAnsi="Bookman Old Style"/>
        </w:rPr>
        <w:t>del patrimonio</w:t>
      </w:r>
      <w:r w:rsidR="00C1408E">
        <w:rPr>
          <w:rFonts w:ascii="Bookman Old Style" w:hAnsi="Bookman Old Style"/>
        </w:rPr>
        <w:t xml:space="preserve">, </w:t>
      </w:r>
      <w:r w:rsidR="00BD23A0">
        <w:rPr>
          <w:rFonts w:ascii="Bookman Old Style" w:hAnsi="Bookman Old Style"/>
        </w:rPr>
        <w:t>al</w:t>
      </w:r>
      <w:r w:rsidR="00C1408E">
        <w:rPr>
          <w:rFonts w:ascii="Bookman Old Style" w:hAnsi="Bookman Old Style"/>
        </w:rPr>
        <w:t>la gestione del Fondo anticipazione liquidità</w:t>
      </w:r>
      <w:r w:rsidR="00BD23A0">
        <w:rPr>
          <w:rFonts w:ascii="Bookman Old Style" w:hAnsi="Bookman Old Style"/>
        </w:rPr>
        <w:t>, al</w:t>
      </w:r>
      <w:r w:rsidR="00683F98">
        <w:rPr>
          <w:rFonts w:ascii="Bookman Old Style" w:hAnsi="Bookman Old Style"/>
        </w:rPr>
        <w:t xml:space="preserve">le regole di utilizzo degli avanzi vincolati da parte degli enti in disavanzo e </w:t>
      </w:r>
      <w:r w:rsidR="00FD7278">
        <w:rPr>
          <w:rFonts w:ascii="Bookman Old Style" w:hAnsi="Bookman Old Style"/>
        </w:rPr>
        <w:t>ai processi di spesa.</w:t>
      </w:r>
    </w:p>
    <w:p w14:paraId="51A52131" w14:textId="688BC9E6" w:rsidR="00CE5E2D" w:rsidRDefault="00D413BA" w:rsidP="005674E5">
      <w:pPr>
        <w:pStyle w:val="Titolo1"/>
        <w:spacing w:after="240"/>
        <w:rPr>
          <w:rFonts w:ascii="Bookman Old Style" w:hAnsi="Bookman Old Style"/>
          <w:b/>
          <w:bCs/>
          <w:sz w:val="22"/>
          <w:szCs w:val="22"/>
        </w:rPr>
      </w:pPr>
      <w:bookmarkStart w:id="4" w:name="_Toc185605204"/>
      <w:r>
        <w:rPr>
          <w:rFonts w:ascii="Bookman Old Style" w:hAnsi="Bookman Old Style"/>
          <w:b/>
          <w:bCs/>
          <w:sz w:val="22"/>
          <w:szCs w:val="22"/>
        </w:rPr>
        <w:t>CONTRIBUTI DI PARTE CORRENTE</w:t>
      </w:r>
      <w:bookmarkEnd w:id="4"/>
    </w:p>
    <w:p w14:paraId="315E64A5" w14:textId="56A67658" w:rsidR="00365A45" w:rsidRPr="00EA497F" w:rsidRDefault="00D413BA" w:rsidP="004D4FDB">
      <w:pPr>
        <w:pStyle w:val="Titolo2"/>
        <w:numPr>
          <w:ilvl w:val="0"/>
          <w:numId w:val="39"/>
        </w:numPr>
        <w:spacing w:before="0"/>
        <w:rPr>
          <w:rFonts w:ascii="Bookman Old Style" w:hAnsi="Bookman Old Style"/>
          <w:b/>
          <w:bCs/>
          <w:sz w:val="22"/>
          <w:szCs w:val="22"/>
        </w:rPr>
      </w:pPr>
      <w:bookmarkStart w:id="5" w:name="_Toc185605205"/>
      <w:r>
        <w:rPr>
          <w:rFonts w:ascii="Bookman Old Style" w:hAnsi="Bookman Old Style"/>
          <w:b/>
          <w:bCs/>
          <w:sz w:val="22"/>
          <w:szCs w:val="22"/>
        </w:rPr>
        <w:t>Fondo affidamento minori</w:t>
      </w:r>
      <w:bookmarkEnd w:id="5"/>
    </w:p>
    <w:p w14:paraId="0D47C996" w14:textId="67D1876F" w:rsidR="00365A45" w:rsidRPr="00521A02" w:rsidRDefault="00EA497F" w:rsidP="004D4FDB">
      <w:pPr>
        <w:spacing w:after="80"/>
        <w:jc w:val="both"/>
        <w:rPr>
          <w:rFonts w:ascii="Bookman Old Style" w:hAnsi="Bookman Old Style"/>
        </w:rPr>
      </w:pPr>
      <w:r>
        <w:rPr>
          <w:rFonts w:ascii="Bookman Old Style" w:hAnsi="Bookman Old Style"/>
        </w:rPr>
        <w:t>La legge di</w:t>
      </w:r>
      <w:r w:rsidR="00365A45" w:rsidRPr="00521A02">
        <w:rPr>
          <w:rFonts w:ascii="Bookman Old Style" w:hAnsi="Bookman Old Style"/>
        </w:rPr>
        <w:t xml:space="preserve"> Bilancio prevede un contributo di parte corrente a sostegno delle spese dei Comuni </w:t>
      </w:r>
      <w:r w:rsidR="00365A45" w:rsidRPr="0037519A">
        <w:rPr>
          <w:rFonts w:ascii="Bookman Old Style" w:hAnsi="Bookman Old Style"/>
          <w:b/>
          <w:bCs/>
        </w:rPr>
        <w:t>per l’affidamento per sentenza di minori e famiglie</w:t>
      </w:r>
      <w:r w:rsidR="00365A45" w:rsidRPr="00521A02">
        <w:rPr>
          <w:rFonts w:ascii="Bookman Old Style" w:hAnsi="Bookman Old Style"/>
        </w:rPr>
        <w:t xml:space="preserve"> in condizioni di fragilità</w:t>
      </w:r>
      <w:r w:rsidR="00802C81">
        <w:rPr>
          <w:rFonts w:ascii="Bookman Old Style" w:hAnsi="Bookman Old Style"/>
        </w:rPr>
        <w:t xml:space="preserve"> (art. 1 comm</w:t>
      </w:r>
      <w:r w:rsidR="00700A31">
        <w:rPr>
          <w:rFonts w:ascii="Bookman Old Style" w:hAnsi="Bookman Old Style"/>
        </w:rPr>
        <w:t>i</w:t>
      </w:r>
      <w:r w:rsidR="00802C81">
        <w:rPr>
          <w:rFonts w:ascii="Bookman Old Style" w:hAnsi="Bookman Old Style"/>
        </w:rPr>
        <w:t xml:space="preserve"> </w:t>
      </w:r>
      <w:r w:rsidR="00700A31" w:rsidRPr="00700A31">
        <w:rPr>
          <w:rFonts w:ascii="Bookman Old Style" w:hAnsi="Bookman Old Style"/>
        </w:rPr>
        <w:t>759-765</w:t>
      </w:r>
      <w:r w:rsidR="00802C81">
        <w:rPr>
          <w:rFonts w:ascii="Bookman Old Style" w:hAnsi="Bookman Old Style"/>
        </w:rPr>
        <w:t>)</w:t>
      </w:r>
      <w:r w:rsidR="00365A45" w:rsidRPr="00521A02">
        <w:rPr>
          <w:rFonts w:ascii="Bookman Old Style" w:hAnsi="Bookman Old Style"/>
        </w:rPr>
        <w:t>.</w:t>
      </w:r>
      <w:r w:rsidR="00C81249">
        <w:rPr>
          <w:rFonts w:ascii="Bookman Old Style" w:hAnsi="Bookman Old Style"/>
        </w:rPr>
        <w:t xml:space="preserve"> Il contributo è pari a </w:t>
      </w:r>
      <w:r w:rsidR="00C81249" w:rsidRPr="00974DCF">
        <w:rPr>
          <w:rFonts w:ascii="Bookman Old Style" w:hAnsi="Bookman Old Style"/>
          <w:b/>
          <w:bCs/>
        </w:rPr>
        <w:t>100 milioni annui nel triennio 2025-27</w:t>
      </w:r>
      <w:r w:rsidR="00AC4E02">
        <w:rPr>
          <w:rFonts w:ascii="Bookman Old Style" w:hAnsi="Bookman Old Style"/>
        </w:rPr>
        <w:t xml:space="preserve"> e viene ripartito annualm</w:t>
      </w:r>
      <w:r w:rsidR="005B02F8">
        <w:rPr>
          <w:rFonts w:ascii="Bookman Old Style" w:hAnsi="Bookman Old Style"/>
        </w:rPr>
        <w:t>e</w:t>
      </w:r>
      <w:r w:rsidR="00AC4E02">
        <w:rPr>
          <w:rFonts w:ascii="Bookman Old Style" w:hAnsi="Bookman Old Style"/>
        </w:rPr>
        <w:t xml:space="preserve">nte </w:t>
      </w:r>
      <w:r w:rsidR="005B02F8">
        <w:rPr>
          <w:rFonts w:ascii="Bookman Old Style" w:hAnsi="Bookman Old Style"/>
        </w:rPr>
        <w:t xml:space="preserve">entro il 31 marzo, sulla base di un </w:t>
      </w:r>
      <w:r w:rsidR="007F1FAA">
        <w:rPr>
          <w:rFonts w:ascii="Bookman Old Style" w:hAnsi="Bookman Old Style"/>
        </w:rPr>
        <w:t xml:space="preserve">decreto </w:t>
      </w:r>
      <w:r w:rsidR="00F671E9">
        <w:rPr>
          <w:rFonts w:ascii="Bookman Old Style" w:hAnsi="Bookman Old Style"/>
        </w:rPr>
        <w:t xml:space="preserve">del </w:t>
      </w:r>
      <w:r w:rsidR="007F1FAA">
        <w:rPr>
          <w:rFonts w:ascii="Bookman Old Style" w:hAnsi="Bookman Old Style"/>
        </w:rPr>
        <w:t xml:space="preserve">Ministro dell’Interno di concerto con </w:t>
      </w:r>
      <w:r w:rsidR="00F671E9">
        <w:rPr>
          <w:rFonts w:ascii="Bookman Old Style" w:hAnsi="Bookman Old Style"/>
        </w:rPr>
        <w:t>il MEF</w:t>
      </w:r>
      <w:r w:rsidR="005B23D3">
        <w:rPr>
          <w:rFonts w:ascii="Bookman Old Style" w:hAnsi="Bookman Old Style"/>
        </w:rPr>
        <w:t xml:space="preserve">, previa certificazione </w:t>
      </w:r>
      <w:r w:rsidR="00F05AE9">
        <w:rPr>
          <w:rFonts w:ascii="Bookman Old Style" w:hAnsi="Bookman Old Style"/>
        </w:rPr>
        <w:t>della spesa sostenuta l’anno precedente</w:t>
      </w:r>
      <w:r w:rsidR="00374666">
        <w:rPr>
          <w:rFonts w:ascii="Bookman Old Style" w:hAnsi="Bookman Old Style"/>
        </w:rPr>
        <w:t xml:space="preserve"> e tenendo conto dell</w:t>
      </w:r>
      <w:r w:rsidR="003D76CA">
        <w:rPr>
          <w:rFonts w:ascii="Bookman Old Style" w:hAnsi="Bookman Old Style"/>
        </w:rPr>
        <w:t xml:space="preserve">e particolari esigenze dei Comuni di minore dimensione </w:t>
      </w:r>
      <w:r w:rsidR="009533EE">
        <w:rPr>
          <w:rFonts w:ascii="Bookman Old Style" w:hAnsi="Bookman Old Style"/>
        </w:rPr>
        <w:t>demografica, spesso gravati da questi oneri in modo sproporzi</w:t>
      </w:r>
      <w:r w:rsidR="00445B8D">
        <w:rPr>
          <w:rFonts w:ascii="Bookman Old Style" w:hAnsi="Bookman Old Style"/>
        </w:rPr>
        <w:t>o</w:t>
      </w:r>
      <w:r w:rsidR="009533EE">
        <w:rPr>
          <w:rFonts w:ascii="Bookman Old Style" w:hAnsi="Bookman Old Style"/>
        </w:rPr>
        <w:t xml:space="preserve">nato rispetto alla </w:t>
      </w:r>
      <w:r w:rsidR="001A0293">
        <w:rPr>
          <w:rFonts w:ascii="Bookman Old Style" w:hAnsi="Bookman Old Style"/>
        </w:rPr>
        <w:t xml:space="preserve">propria </w:t>
      </w:r>
      <w:r w:rsidR="00445B8D">
        <w:rPr>
          <w:rFonts w:ascii="Bookman Old Style" w:hAnsi="Bookman Old Style"/>
        </w:rPr>
        <w:t>capacità finanziaria.</w:t>
      </w:r>
    </w:p>
    <w:p w14:paraId="7EBEEB50" w14:textId="77777777" w:rsidR="008D6319" w:rsidRDefault="004151E0" w:rsidP="004D4FDB">
      <w:pPr>
        <w:spacing w:after="80"/>
        <w:jc w:val="both"/>
        <w:rPr>
          <w:rFonts w:ascii="Bookman Old Style" w:hAnsi="Bookman Old Style" w:cs="CIDFont+F2"/>
          <w:kern w:val="0"/>
        </w:rPr>
      </w:pPr>
      <w:r w:rsidRPr="00776740">
        <w:rPr>
          <w:rFonts w:ascii="Bookman Old Style" w:hAnsi="Bookman Old Style"/>
        </w:rPr>
        <w:t>La norma</w:t>
      </w:r>
      <w:r w:rsidR="00E012BC">
        <w:rPr>
          <w:rFonts w:ascii="Bookman Old Style" w:hAnsi="Bookman Old Style"/>
        </w:rPr>
        <w:t>,</w:t>
      </w:r>
      <w:r w:rsidR="00802C81" w:rsidRPr="00776740">
        <w:rPr>
          <w:rFonts w:ascii="Bookman Old Style" w:hAnsi="Bookman Old Style"/>
        </w:rPr>
        <w:t xml:space="preserve"> </w:t>
      </w:r>
      <w:r w:rsidRPr="00776740">
        <w:rPr>
          <w:rFonts w:ascii="Bookman Old Style" w:hAnsi="Bookman Old Style"/>
        </w:rPr>
        <w:t xml:space="preserve">come modificata in Commissione Bilancio Camera, </w:t>
      </w:r>
      <w:r w:rsidRPr="00776740">
        <w:rPr>
          <w:rFonts w:ascii="Bookman Old Style" w:hAnsi="Bookman Old Style" w:cs="CIDFont+F2"/>
          <w:kern w:val="0"/>
        </w:rPr>
        <w:t xml:space="preserve">stabilisce che </w:t>
      </w:r>
      <w:r w:rsidRPr="0037519A">
        <w:rPr>
          <w:rFonts w:ascii="Bookman Old Style" w:hAnsi="Bookman Old Style" w:cs="CIDFont+F2"/>
          <w:b/>
          <w:bCs/>
          <w:kern w:val="0"/>
        </w:rPr>
        <w:t>tali risorse sono destinate ai Comuni che hanno un rapporto superiore al 3%</w:t>
      </w:r>
      <w:r w:rsidRPr="00776740">
        <w:rPr>
          <w:rFonts w:ascii="Bookman Old Style" w:hAnsi="Bookman Old Style" w:cs="CIDFont+F2"/>
          <w:kern w:val="0"/>
        </w:rPr>
        <w:t xml:space="preserve"> (in luogo del 10%</w:t>
      </w:r>
      <w:r w:rsidR="00A51375">
        <w:rPr>
          <w:rFonts w:ascii="Bookman Old Style" w:hAnsi="Bookman Old Style" w:cs="CIDFont+F2"/>
          <w:kern w:val="0"/>
        </w:rPr>
        <w:t xml:space="preserve"> indicato inizialmente dal DDL Bilancio</w:t>
      </w:r>
      <w:r w:rsidRPr="00F63BE9">
        <w:rPr>
          <w:rFonts w:ascii="Bookman Old Style" w:hAnsi="Bookman Old Style" w:cs="CIDFont+F2"/>
          <w:kern w:val="0"/>
        </w:rPr>
        <w:t>)</w:t>
      </w:r>
      <w:r w:rsidRPr="00F63BE9">
        <w:rPr>
          <w:rFonts w:ascii="Bookman Old Style" w:hAnsi="Bookman Old Style" w:cs="CIDFont+F2"/>
          <w:b/>
          <w:bCs/>
          <w:kern w:val="0"/>
        </w:rPr>
        <w:t xml:space="preserve"> tra le spese sostenute per provvedere all'attuazione dei provvedimenti del giudice minorile e il fabbisogno standard monetario per la funzione sociale</w:t>
      </w:r>
      <w:r w:rsidRPr="00776740">
        <w:rPr>
          <w:rFonts w:ascii="Bookman Old Style" w:hAnsi="Bookman Old Style" w:cs="CIDFont+F2"/>
          <w:kern w:val="0"/>
        </w:rPr>
        <w:t xml:space="preserve">. </w:t>
      </w:r>
      <w:r w:rsidR="00AF155A">
        <w:rPr>
          <w:rFonts w:ascii="Bookman Old Style" w:hAnsi="Bookman Old Style" w:cs="CIDFont+F2"/>
          <w:kern w:val="0"/>
        </w:rPr>
        <w:t>Rispetto al testo iniziale, è</w:t>
      </w:r>
      <w:r w:rsidRPr="00776740">
        <w:rPr>
          <w:rFonts w:ascii="Bookman Old Style" w:hAnsi="Bookman Old Style" w:cs="CIDFont+F2"/>
          <w:kern w:val="0"/>
        </w:rPr>
        <w:t xml:space="preserve"> inoltre abolito il riferimento ai provvedimenti del giudice minorile “</w:t>
      </w:r>
      <w:r w:rsidRPr="00AF155A">
        <w:rPr>
          <w:rFonts w:ascii="Bookman Old Style" w:hAnsi="Bookman Old Style" w:cs="CIDFont+F2"/>
          <w:i/>
          <w:iCs/>
          <w:kern w:val="0"/>
        </w:rPr>
        <w:t>intervenuti nell’anno precedente</w:t>
      </w:r>
      <w:r w:rsidRPr="00776740">
        <w:rPr>
          <w:rFonts w:ascii="Bookman Old Style" w:hAnsi="Bookman Old Style" w:cs="CIDFont+F2"/>
          <w:kern w:val="0"/>
        </w:rPr>
        <w:t>”, evitando così le distorsioni nella rilevazione della spesa dovute ai frequenti provvedimenti con efficacia pluriennale.</w:t>
      </w:r>
    </w:p>
    <w:p w14:paraId="7995FCBF" w14:textId="4EE2455B" w:rsidR="00244416" w:rsidRPr="008D6319" w:rsidRDefault="00244416" w:rsidP="004D4FDB">
      <w:pPr>
        <w:spacing w:after="80"/>
        <w:jc w:val="both"/>
        <w:rPr>
          <w:rFonts w:ascii="Bookman Old Style" w:hAnsi="Bookman Old Style" w:cs="CIDFont+F2"/>
          <w:kern w:val="0"/>
        </w:rPr>
      </w:pPr>
      <w:r>
        <w:rPr>
          <w:rFonts w:ascii="Bookman Old Style" w:hAnsi="Bookman Old Style" w:cs="CIDFont+F2"/>
          <w:kern w:val="0"/>
        </w:rPr>
        <w:t xml:space="preserve">Si tratta di un intervento </w:t>
      </w:r>
      <w:r w:rsidR="009D6EB3">
        <w:rPr>
          <w:rFonts w:ascii="Bookman Old Style" w:hAnsi="Bookman Old Style" w:cs="CIDFont+F2"/>
          <w:kern w:val="0"/>
        </w:rPr>
        <w:t xml:space="preserve">rilevante in quanto le spese in questione </w:t>
      </w:r>
      <w:r w:rsidR="00817BBF">
        <w:rPr>
          <w:rFonts w:ascii="Bookman Old Style" w:hAnsi="Bookman Old Style" w:cs="CIDFont+F2"/>
          <w:kern w:val="0"/>
        </w:rPr>
        <w:t xml:space="preserve">sono sostenute da moltissimi Comuni e </w:t>
      </w:r>
      <w:r w:rsidR="001A0293">
        <w:rPr>
          <w:rFonts w:ascii="Bookman Old Style" w:hAnsi="Bookman Old Style" w:cs="CIDFont+F2"/>
          <w:kern w:val="0"/>
        </w:rPr>
        <w:t>costituiscono un onere imposto ed inderogabile</w:t>
      </w:r>
      <w:r w:rsidR="00886559">
        <w:rPr>
          <w:rFonts w:ascii="Bookman Old Style" w:hAnsi="Bookman Old Style" w:cs="CIDFont+F2"/>
          <w:kern w:val="0"/>
        </w:rPr>
        <w:t>, spesso in contesti di forte rigidità dei bilanci.</w:t>
      </w:r>
      <w:r w:rsidR="00F63BE9">
        <w:rPr>
          <w:rFonts w:ascii="Bookman Old Style" w:hAnsi="Bookman Old Style" w:cs="CIDFont+F2"/>
          <w:kern w:val="0"/>
        </w:rPr>
        <w:t xml:space="preserve"> Sulla base dei dati </w:t>
      </w:r>
      <w:r w:rsidR="00AF1EA0">
        <w:rPr>
          <w:rFonts w:ascii="Bookman Old Style" w:hAnsi="Bookman Old Style" w:cs="CIDFont+F2"/>
          <w:kern w:val="0"/>
        </w:rPr>
        <w:t xml:space="preserve">sui minori affidati del Ministero le Lavoro e delle Politiche sociali, nonché delle certificazioni dei comuni fino a 3mila abitanti </w:t>
      </w:r>
      <w:r w:rsidR="008E79D0">
        <w:rPr>
          <w:rFonts w:ascii="Bookman Old Style" w:hAnsi="Bookman Old Style" w:cs="CIDFont+F2"/>
          <w:kern w:val="0"/>
        </w:rPr>
        <w:t>relative ad una precedente erogazione una tantum, l’onero annuo sostenuto dai Comuni è stimabile in circa 500 milioni di euro</w:t>
      </w:r>
      <w:r w:rsidR="00FC1FA6">
        <w:rPr>
          <w:rFonts w:ascii="Bookman Old Style" w:hAnsi="Bookman Old Style" w:cs="CIDFont+F2"/>
          <w:kern w:val="0"/>
        </w:rPr>
        <w:t>.</w:t>
      </w:r>
    </w:p>
    <w:p w14:paraId="3552C60E" w14:textId="6FF75448" w:rsidR="00195F44" w:rsidRPr="00EA497F" w:rsidRDefault="00195F44" w:rsidP="004D4FDB">
      <w:pPr>
        <w:pStyle w:val="Titolo2"/>
        <w:numPr>
          <w:ilvl w:val="0"/>
          <w:numId w:val="39"/>
        </w:numPr>
        <w:spacing w:before="0"/>
        <w:rPr>
          <w:rFonts w:ascii="Bookman Old Style" w:hAnsi="Bookman Old Style"/>
          <w:b/>
          <w:bCs/>
          <w:sz w:val="22"/>
          <w:szCs w:val="22"/>
        </w:rPr>
      </w:pPr>
      <w:bookmarkStart w:id="6" w:name="_Toc185605206"/>
      <w:r>
        <w:rPr>
          <w:rFonts w:ascii="Bookman Old Style" w:hAnsi="Bookman Old Style"/>
          <w:b/>
          <w:bCs/>
          <w:sz w:val="22"/>
          <w:szCs w:val="22"/>
        </w:rPr>
        <w:t>Incre</w:t>
      </w:r>
      <w:r w:rsidR="001E39A8">
        <w:rPr>
          <w:rFonts w:ascii="Bookman Old Style" w:hAnsi="Bookman Old Style"/>
          <w:b/>
          <w:bCs/>
          <w:sz w:val="22"/>
          <w:szCs w:val="22"/>
        </w:rPr>
        <w:t>m</w:t>
      </w:r>
      <w:r>
        <w:rPr>
          <w:rFonts w:ascii="Bookman Old Style" w:hAnsi="Bookman Old Style"/>
          <w:b/>
          <w:bCs/>
          <w:sz w:val="22"/>
          <w:szCs w:val="22"/>
        </w:rPr>
        <w:t>ento Fondo di solidarietà comunale</w:t>
      </w:r>
      <w:bookmarkEnd w:id="6"/>
    </w:p>
    <w:p w14:paraId="16C77EF8" w14:textId="1C45E7FA" w:rsidR="00365A45" w:rsidRDefault="000E2E6C" w:rsidP="004D4FDB">
      <w:pPr>
        <w:spacing w:after="80"/>
        <w:jc w:val="both"/>
        <w:rPr>
          <w:rFonts w:ascii="Bookman Old Style" w:hAnsi="Bookman Old Style"/>
        </w:rPr>
      </w:pPr>
      <w:r>
        <w:rPr>
          <w:rFonts w:ascii="Bookman Old Style" w:hAnsi="Bookman Old Style"/>
        </w:rPr>
        <w:t xml:space="preserve">Si dispone </w:t>
      </w:r>
      <w:r w:rsidR="00365A45" w:rsidRPr="00521A02">
        <w:rPr>
          <w:rFonts w:ascii="Bookman Old Style" w:hAnsi="Bookman Old Style"/>
        </w:rPr>
        <w:t>(</w:t>
      </w:r>
      <w:r w:rsidR="002B6500">
        <w:rPr>
          <w:rFonts w:ascii="Bookman Old Style" w:hAnsi="Bookman Old Style"/>
        </w:rPr>
        <w:t>A</w:t>
      </w:r>
      <w:r w:rsidR="00365A45" w:rsidRPr="00521A02">
        <w:rPr>
          <w:rFonts w:ascii="Bookman Old Style" w:hAnsi="Bookman Old Style"/>
        </w:rPr>
        <w:t>rt.</w:t>
      </w:r>
      <w:r w:rsidR="002B6500">
        <w:rPr>
          <w:rFonts w:ascii="Bookman Old Style" w:hAnsi="Bookman Old Style"/>
        </w:rPr>
        <w:t xml:space="preserve">1, commi </w:t>
      </w:r>
      <w:r w:rsidR="00490367">
        <w:rPr>
          <w:rFonts w:ascii="Bookman Old Style" w:hAnsi="Bookman Old Style"/>
        </w:rPr>
        <w:t>75</w:t>
      </w:r>
      <w:r w:rsidR="004E7DFA">
        <w:rPr>
          <w:rFonts w:ascii="Bookman Old Style" w:hAnsi="Bookman Old Style"/>
        </w:rPr>
        <w:t>3</w:t>
      </w:r>
      <w:r w:rsidR="003660CA">
        <w:rPr>
          <w:rFonts w:ascii="Bookman Old Style" w:hAnsi="Bookman Old Style"/>
        </w:rPr>
        <w:t>-758</w:t>
      </w:r>
      <w:r w:rsidR="00365A45" w:rsidRPr="00521A02">
        <w:rPr>
          <w:rFonts w:ascii="Bookman Old Style" w:hAnsi="Bookman Old Style"/>
        </w:rPr>
        <w:t xml:space="preserve">) </w:t>
      </w:r>
      <w:r w:rsidR="00365A45" w:rsidRPr="00521A02">
        <w:rPr>
          <w:rFonts w:ascii="Bookman Old Style" w:hAnsi="Bookman Old Style"/>
          <w:b/>
          <w:bCs/>
        </w:rPr>
        <w:t xml:space="preserve">un </w:t>
      </w:r>
      <w:r w:rsidR="00822B60">
        <w:rPr>
          <w:rFonts w:ascii="Bookman Old Style" w:hAnsi="Bookman Old Style"/>
          <w:b/>
          <w:bCs/>
        </w:rPr>
        <w:t>aumento</w:t>
      </w:r>
      <w:r w:rsidR="00365A45" w:rsidRPr="00521A02">
        <w:rPr>
          <w:rFonts w:ascii="Bookman Old Style" w:hAnsi="Bookman Old Style"/>
          <w:b/>
          <w:bCs/>
        </w:rPr>
        <w:t xml:space="preserve"> della dotazione del Fondo di solidarietà comunale per </w:t>
      </w:r>
      <w:r w:rsidR="00365A45" w:rsidRPr="00822B60">
        <w:rPr>
          <w:rFonts w:ascii="Bookman Old Style" w:hAnsi="Bookman Old Style"/>
          <w:b/>
          <w:bCs/>
        </w:rPr>
        <w:t>56 mln. incrementali annui dal 2025 al 2030</w:t>
      </w:r>
      <w:r w:rsidR="00365A45" w:rsidRPr="00521A02">
        <w:rPr>
          <w:rFonts w:ascii="Bookman Old Style" w:hAnsi="Bookman Old Style"/>
        </w:rPr>
        <w:t xml:space="preserve">, che permetterà di contenere il “taglio perequativo” subito da quasi 4mila Comuni delle Regioni a statuto </w:t>
      </w:r>
      <w:r w:rsidR="00365A45" w:rsidRPr="00521A02">
        <w:rPr>
          <w:rFonts w:ascii="Bookman Old Style" w:hAnsi="Bookman Old Style"/>
        </w:rPr>
        <w:lastRenderedPageBreak/>
        <w:t xml:space="preserve">ordinario, a fronte degli incrementi di risorse previsti a favore dei Comuni meno dotati secondo gli attuali criteri perequativi. Il miglioramento è stimabile tra il 40 e il 50% della riduzione che sarebbe applicata in caso di regolazione esclusivamente </w:t>
      </w:r>
      <w:r w:rsidR="00365A45" w:rsidRPr="00521A02">
        <w:rPr>
          <w:rFonts w:ascii="Bookman Old Style" w:hAnsi="Bookman Old Style"/>
          <w:i/>
          <w:iCs/>
        </w:rPr>
        <w:t>orizzontale</w:t>
      </w:r>
      <w:r w:rsidR="00365A45" w:rsidRPr="00521A02">
        <w:rPr>
          <w:rFonts w:ascii="Bookman Old Style" w:hAnsi="Bookman Old Style"/>
        </w:rPr>
        <w:t xml:space="preserve"> del FSC.</w:t>
      </w:r>
    </w:p>
    <w:p w14:paraId="08BBB293" w14:textId="3391D7B8" w:rsidR="001E39A8" w:rsidRPr="00EA497F" w:rsidRDefault="001E39A8" w:rsidP="004D4FDB">
      <w:pPr>
        <w:pStyle w:val="Titolo2"/>
        <w:numPr>
          <w:ilvl w:val="0"/>
          <w:numId w:val="39"/>
        </w:numPr>
        <w:spacing w:before="0"/>
        <w:rPr>
          <w:rFonts w:ascii="Bookman Old Style" w:hAnsi="Bookman Old Style"/>
          <w:b/>
          <w:bCs/>
          <w:sz w:val="22"/>
          <w:szCs w:val="22"/>
        </w:rPr>
      </w:pPr>
      <w:bookmarkStart w:id="7" w:name="_Toc185605207"/>
      <w:r>
        <w:rPr>
          <w:rFonts w:ascii="Bookman Old Style" w:hAnsi="Bookman Old Style"/>
          <w:b/>
          <w:bCs/>
          <w:sz w:val="22"/>
          <w:szCs w:val="22"/>
        </w:rPr>
        <w:t>Incremento Fondo sperimentale di riequilibrio</w:t>
      </w:r>
      <w:bookmarkEnd w:id="7"/>
    </w:p>
    <w:p w14:paraId="13E51309" w14:textId="7169D095" w:rsidR="001E39A8" w:rsidRDefault="001E39A8" w:rsidP="004D4FDB">
      <w:pPr>
        <w:spacing w:after="80"/>
        <w:jc w:val="both"/>
        <w:rPr>
          <w:rFonts w:ascii="Bookman Old Style" w:hAnsi="Bookman Old Style"/>
        </w:rPr>
      </w:pPr>
      <w:r w:rsidRPr="00521A02">
        <w:rPr>
          <w:rFonts w:ascii="Bookman Old Style" w:hAnsi="Bookman Old Style"/>
          <w:b/>
          <w:bCs/>
        </w:rPr>
        <w:t>Le Città metropolitane e le Province</w:t>
      </w:r>
      <w:r w:rsidRPr="00521A02">
        <w:rPr>
          <w:rFonts w:ascii="Bookman Old Style" w:hAnsi="Bookman Old Style"/>
        </w:rPr>
        <w:t xml:space="preserve"> sono beneficiati da </w:t>
      </w:r>
      <w:r w:rsidRPr="00521A02">
        <w:rPr>
          <w:rFonts w:ascii="Bookman Old Style" w:hAnsi="Bookman Old Style"/>
          <w:b/>
          <w:bCs/>
        </w:rPr>
        <w:t xml:space="preserve">un’anticipazione di erogazione di risorse </w:t>
      </w:r>
      <w:r w:rsidR="002E1BA6">
        <w:rPr>
          <w:rFonts w:ascii="Bookman Old Style" w:hAnsi="Bookman Old Style"/>
          <w:b/>
          <w:bCs/>
        </w:rPr>
        <w:t xml:space="preserve">(art.1, co. </w:t>
      </w:r>
      <w:r w:rsidR="00A86A9F">
        <w:rPr>
          <w:rFonts w:ascii="Bookman Old Style" w:hAnsi="Bookman Old Style"/>
          <w:b/>
          <w:bCs/>
        </w:rPr>
        <w:t>773-774</w:t>
      </w:r>
      <w:r w:rsidR="002E1BA6">
        <w:rPr>
          <w:rFonts w:ascii="Bookman Old Style" w:hAnsi="Bookman Old Style"/>
          <w:b/>
          <w:bCs/>
        </w:rPr>
        <w:t>)</w:t>
      </w:r>
      <w:r w:rsidR="00776740">
        <w:rPr>
          <w:rFonts w:ascii="Bookman Old Style" w:hAnsi="Bookman Old Style"/>
          <w:b/>
          <w:bCs/>
        </w:rPr>
        <w:t xml:space="preserve"> </w:t>
      </w:r>
      <w:r w:rsidRPr="00521A02">
        <w:rPr>
          <w:rFonts w:ascii="Bookman Old Style" w:hAnsi="Bookman Old Style"/>
          <w:b/>
          <w:bCs/>
        </w:rPr>
        <w:t>già stanziate</w:t>
      </w:r>
      <w:r w:rsidRPr="00521A02">
        <w:rPr>
          <w:rFonts w:ascii="Bookman Old Style" w:hAnsi="Bookman Old Style"/>
        </w:rPr>
        <w:t xml:space="preserve"> dalla legge di bilancio per il 2022, </w:t>
      </w:r>
      <w:r w:rsidRPr="00521A02">
        <w:rPr>
          <w:rFonts w:ascii="Bookman Old Style" w:hAnsi="Bookman Old Style"/>
          <w:b/>
          <w:bCs/>
        </w:rPr>
        <w:t>pari a 50 mln. annui dal 2025 al 2030</w:t>
      </w:r>
      <w:r w:rsidRPr="00521A02">
        <w:rPr>
          <w:rFonts w:ascii="Bookman Old Style" w:hAnsi="Bookman Old Style"/>
        </w:rPr>
        <w:t>, a parità di importo a regime (600 mln. di euro dal 2031).</w:t>
      </w:r>
    </w:p>
    <w:p w14:paraId="58EBF9B4" w14:textId="4F70B03E" w:rsidR="00247CC2" w:rsidRPr="00521A02" w:rsidRDefault="00247CC2" w:rsidP="004D4FDB">
      <w:pPr>
        <w:spacing w:after="80"/>
        <w:jc w:val="both"/>
        <w:rPr>
          <w:rFonts w:ascii="Bookman Old Style" w:hAnsi="Bookman Old Style"/>
        </w:rPr>
      </w:pPr>
      <w:r>
        <w:rPr>
          <w:rFonts w:ascii="Bookman Old Style" w:hAnsi="Bookman Old Style"/>
        </w:rPr>
        <w:t>La norma prevede il riparto di questo incremento</w:t>
      </w:r>
      <w:r w:rsidR="00FA13B3">
        <w:rPr>
          <w:rFonts w:ascii="Bookman Old Style" w:hAnsi="Bookman Old Style"/>
        </w:rPr>
        <w:t>, con riferimento agli anni 2025-27</w:t>
      </w:r>
      <w:r>
        <w:rPr>
          <w:rFonts w:ascii="Bookman Old Style" w:hAnsi="Bookman Old Style"/>
        </w:rPr>
        <w:t xml:space="preserve"> con un provvedimento da emanarsi entro il 31 marzo </w:t>
      </w:r>
      <w:r w:rsidR="00FA13B3">
        <w:rPr>
          <w:rFonts w:ascii="Bookman Old Style" w:hAnsi="Bookman Old Style"/>
        </w:rPr>
        <w:t xml:space="preserve">2025. </w:t>
      </w:r>
      <w:r w:rsidR="00D605C3">
        <w:rPr>
          <w:rFonts w:ascii="Bookman Old Style" w:hAnsi="Bookman Old Style"/>
        </w:rPr>
        <w:t xml:space="preserve">È tuttavia probabile che il riparto sia attivato </w:t>
      </w:r>
      <w:r w:rsidR="0052012C">
        <w:rPr>
          <w:rFonts w:ascii="Bookman Old Style" w:hAnsi="Bookman Old Style"/>
        </w:rPr>
        <w:t>prima di tale data</w:t>
      </w:r>
      <w:r w:rsidR="00D34300">
        <w:rPr>
          <w:rFonts w:ascii="Bookman Old Style" w:hAnsi="Bookman Old Style"/>
        </w:rPr>
        <w:t xml:space="preserve">, </w:t>
      </w:r>
      <w:r w:rsidR="00D605C3">
        <w:rPr>
          <w:rFonts w:ascii="Bookman Old Style" w:hAnsi="Bookman Old Style"/>
        </w:rPr>
        <w:t xml:space="preserve">contestualmente alla determinazione del </w:t>
      </w:r>
      <w:r w:rsidR="00C8262A">
        <w:rPr>
          <w:rFonts w:ascii="Bookman Old Style" w:hAnsi="Bookman Old Style"/>
        </w:rPr>
        <w:t xml:space="preserve">Fondo sperimentale di riequilibrio per lo stesso triennio </w:t>
      </w:r>
      <w:r w:rsidR="00D34300">
        <w:rPr>
          <w:rFonts w:ascii="Bookman Old Style" w:hAnsi="Bookman Old Style"/>
        </w:rPr>
        <w:t>(commi 783-784 della legg</w:t>
      </w:r>
      <w:r w:rsidR="0052012C">
        <w:rPr>
          <w:rFonts w:ascii="Bookman Old Style" w:hAnsi="Bookman Old Style"/>
        </w:rPr>
        <w:t>e 178/2020).</w:t>
      </w:r>
    </w:p>
    <w:p w14:paraId="74DD44DA" w14:textId="40099833" w:rsidR="007A75D0" w:rsidRPr="00EA497F" w:rsidRDefault="007A75D0" w:rsidP="004D4FDB">
      <w:pPr>
        <w:pStyle w:val="Titolo2"/>
        <w:numPr>
          <w:ilvl w:val="0"/>
          <w:numId w:val="39"/>
        </w:numPr>
        <w:spacing w:before="0"/>
        <w:rPr>
          <w:rFonts w:ascii="Bookman Old Style" w:hAnsi="Bookman Old Style"/>
          <w:b/>
          <w:bCs/>
          <w:sz w:val="22"/>
          <w:szCs w:val="22"/>
        </w:rPr>
      </w:pPr>
      <w:bookmarkStart w:id="8" w:name="_Toc185605208"/>
      <w:r>
        <w:rPr>
          <w:rFonts w:ascii="Bookman Old Style" w:hAnsi="Bookman Old Style"/>
          <w:b/>
          <w:bCs/>
          <w:sz w:val="22"/>
          <w:szCs w:val="22"/>
        </w:rPr>
        <w:t>Incremento Fondo TPL</w:t>
      </w:r>
      <w:bookmarkEnd w:id="8"/>
    </w:p>
    <w:p w14:paraId="7E5EC0CA" w14:textId="69A8A865" w:rsidR="00365A45" w:rsidRPr="00521A02" w:rsidRDefault="00365A45" w:rsidP="004D4FDB">
      <w:pPr>
        <w:spacing w:after="80"/>
        <w:jc w:val="both"/>
        <w:rPr>
          <w:rFonts w:ascii="Bookman Old Style" w:hAnsi="Bookman Old Style"/>
        </w:rPr>
      </w:pPr>
      <w:r w:rsidRPr="00521A02">
        <w:rPr>
          <w:rFonts w:ascii="Bookman Old Style" w:hAnsi="Bookman Old Style"/>
        </w:rPr>
        <w:t>L</w:t>
      </w:r>
      <w:r w:rsidRPr="00521A02">
        <w:rPr>
          <w:rFonts w:ascii="Bookman Old Style" w:hAnsi="Bookman Old Style"/>
          <w:b/>
          <w:bCs/>
        </w:rPr>
        <w:t>’incremento di 120 mln. previsto per il Fondo TPL</w:t>
      </w:r>
      <w:r w:rsidRPr="00521A02">
        <w:rPr>
          <w:rFonts w:ascii="Bookman Old Style" w:hAnsi="Bookman Old Style"/>
        </w:rPr>
        <w:t xml:space="preserve"> (</w:t>
      </w:r>
      <w:r w:rsidR="003660CA">
        <w:rPr>
          <w:rFonts w:ascii="Bookman Old Style" w:hAnsi="Bookman Old Style"/>
        </w:rPr>
        <w:t xml:space="preserve">Art. 1, </w:t>
      </w:r>
      <w:r w:rsidR="00636514">
        <w:rPr>
          <w:rFonts w:ascii="Bookman Old Style" w:hAnsi="Bookman Old Style"/>
        </w:rPr>
        <w:t>commi 730-736</w:t>
      </w:r>
      <w:r w:rsidRPr="00521A02">
        <w:rPr>
          <w:rFonts w:ascii="Bookman Old Style" w:hAnsi="Bookman Old Style"/>
        </w:rPr>
        <w:t xml:space="preserve">) beneficerà in quota parte gli enti locali che esercitano le funzioni di trasporto pubblico locale. </w:t>
      </w:r>
    </w:p>
    <w:p w14:paraId="6020786F" w14:textId="20E06B97" w:rsidR="00BC46EF" w:rsidRPr="00521A02" w:rsidRDefault="00EF0940" w:rsidP="005674E5">
      <w:pPr>
        <w:pStyle w:val="Titolo1"/>
        <w:spacing w:after="240"/>
        <w:rPr>
          <w:rFonts w:ascii="Bookman Old Style" w:hAnsi="Bookman Old Style"/>
          <w:b/>
          <w:bCs/>
          <w:sz w:val="22"/>
          <w:szCs w:val="22"/>
        </w:rPr>
      </w:pPr>
      <w:bookmarkStart w:id="9" w:name="_Toc185605209"/>
      <w:r w:rsidRPr="00EF0940">
        <w:rPr>
          <w:rFonts w:ascii="Bookman Old Style" w:hAnsi="Bookman Old Style"/>
          <w:b/>
          <w:bCs/>
          <w:sz w:val="22"/>
          <w:szCs w:val="22"/>
        </w:rPr>
        <w:t>RIDUZIONI DEI CONTRIBUTI STATALI AGLI INVESTIMENTI LOCALI</w:t>
      </w:r>
      <w:bookmarkEnd w:id="9"/>
    </w:p>
    <w:p w14:paraId="19EA4C54" w14:textId="130459D8" w:rsidR="00BD1CE9" w:rsidRPr="00521A02" w:rsidRDefault="00EF0940" w:rsidP="00BF47D2">
      <w:pPr>
        <w:pStyle w:val="Titolo2"/>
        <w:numPr>
          <w:ilvl w:val="0"/>
          <w:numId w:val="39"/>
        </w:numPr>
        <w:spacing w:before="0"/>
        <w:rPr>
          <w:rFonts w:ascii="Bookman Old Style" w:hAnsi="Bookman Old Style"/>
          <w:b/>
          <w:bCs/>
          <w:sz w:val="22"/>
          <w:szCs w:val="22"/>
        </w:rPr>
      </w:pPr>
      <w:bookmarkStart w:id="10" w:name="_Toc185605210"/>
      <w:r>
        <w:rPr>
          <w:rFonts w:ascii="Bookman Old Style" w:hAnsi="Bookman Old Style"/>
          <w:b/>
          <w:bCs/>
          <w:sz w:val="22"/>
          <w:szCs w:val="22"/>
        </w:rPr>
        <w:t>Riduzioni di contributi ai Comuni</w:t>
      </w:r>
      <w:bookmarkEnd w:id="10"/>
    </w:p>
    <w:p w14:paraId="4C7EFDF8" w14:textId="4B0C3FCC" w:rsidR="00BD1CE9" w:rsidRPr="00521A02" w:rsidRDefault="00636514" w:rsidP="00BF47D2">
      <w:pPr>
        <w:spacing w:after="80"/>
        <w:jc w:val="both"/>
        <w:rPr>
          <w:rFonts w:ascii="Bookman Old Style" w:hAnsi="Bookman Old Style"/>
        </w:rPr>
      </w:pPr>
      <w:r>
        <w:rPr>
          <w:rFonts w:ascii="Bookman Old Style" w:hAnsi="Bookman Old Style"/>
        </w:rPr>
        <w:t>La legge di</w:t>
      </w:r>
      <w:r w:rsidR="00BD1CE9" w:rsidRPr="00521A02">
        <w:rPr>
          <w:rFonts w:ascii="Bookman Old Style" w:hAnsi="Bookman Old Style"/>
        </w:rPr>
        <w:t xml:space="preserve"> Bilancio prevede numerose riduzioni di fondi destinati al finanziamento di investimenti de</w:t>
      </w:r>
      <w:r w:rsidR="00035713">
        <w:rPr>
          <w:rFonts w:ascii="Bookman Old Style" w:hAnsi="Bookman Old Style"/>
        </w:rPr>
        <w:t xml:space="preserve">i Comuni </w:t>
      </w:r>
      <w:r w:rsidR="00BD1CE9" w:rsidRPr="00521A02">
        <w:rPr>
          <w:rFonts w:ascii="Bookman Old Style" w:hAnsi="Bookman Old Style"/>
        </w:rPr>
        <w:t>(</w:t>
      </w:r>
      <w:r w:rsidR="001304EC">
        <w:rPr>
          <w:rFonts w:ascii="Bookman Old Style" w:hAnsi="Bookman Old Style"/>
        </w:rPr>
        <w:t>A</w:t>
      </w:r>
      <w:r w:rsidR="00BD1CE9" w:rsidRPr="00521A02">
        <w:rPr>
          <w:rFonts w:ascii="Bookman Old Style" w:hAnsi="Bookman Old Style"/>
        </w:rPr>
        <w:t>rt.</w:t>
      </w:r>
      <w:r w:rsidR="001304EC">
        <w:rPr>
          <w:rFonts w:ascii="Bookman Old Style" w:hAnsi="Bookman Old Style"/>
        </w:rPr>
        <w:t>1, commi 784-</w:t>
      </w:r>
      <w:r w:rsidR="00367CE5">
        <w:rPr>
          <w:rFonts w:ascii="Bookman Old Style" w:hAnsi="Bookman Old Style"/>
        </w:rPr>
        <w:t>811</w:t>
      </w:r>
      <w:r w:rsidR="00BD1CE9" w:rsidRPr="00521A02">
        <w:rPr>
          <w:rFonts w:ascii="Bookman Old Style" w:hAnsi="Bookman Old Style"/>
        </w:rPr>
        <w:t>). La tabella seguente riporta le linee di finanziamento oggetto delle riduzioni per ciascuno degli anni 2025-29 e per il totale 2030-37.</w:t>
      </w:r>
    </w:p>
    <w:p w14:paraId="3EE1E990" w14:textId="19063D0F" w:rsidR="00BD1CE9" w:rsidRPr="00521A02" w:rsidRDefault="00950195" w:rsidP="00BF47D2">
      <w:pPr>
        <w:spacing w:after="80"/>
        <w:ind w:left="-567" w:right="-710"/>
        <w:jc w:val="both"/>
        <w:rPr>
          <w:rFonts w:ascii="Bookman Old Style" w:hAnsi="Bookman Old Style"/>
        </w:rPr>
      </w:pPr>
      <w:r w:rsidRPr="00950195">
        <w:rPr>
          <w:noProof/>
        </w:rPr>
        <w:drawing>
          <wp:inline distT="0" distB="0" distL="0" distR="0" wp14:anchorId="39C1515D" wp14:editId="5B0F9DDE">
            <wp:extent cx="6773272" cy="2855344"/>
            <wp:effectExtent l="0" t="0" r="8890" b="2540"/>
            <wp:docPr id="9842699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85300" cy="2860415"/>
                    </a:xfrm>
                    <a:prstGeom prst="rect">
                      <a:avLst/>
                    </a:prstGeom>
                    <a:noFill/>
                    <a:ln>
                      <a:noFill/>
                    </a:ln>
                  </pic:spPr>
                </pic:pic>
              </a:graphicData>
            </a:graphic>
          </wp:inline>
        </w:drawing>
      </w:r>
    </w:p>
    <w:p w14:paraId="7BCA0450" w14:textId="77777777" w:rsidR="00BD1CE9" w:rsidRDefault="00BD1CE9" w:rsidP="00BF47D2">
      <w:pPr>
        <w:spacing w:after="80"/>
        <w:jc w:val="both"/>
        <w:rPr>
          <w:rFonts w:ascii="Bookman Old Style" w:hAnsi="Bookman Old Style"/>
        </w:rPr>
      </w:pPr>
      <w:r w:rsidRPr="00521A02">
        <w:rPr>
          <w:rFonts w:ascii="Bookman Old Style" w:hAnsi="Bookman Old Style"/>
          <w:b/>
          <w:bCs/>
        </w:rPr>
        <w:t>Le riduzioni ammontano a circa 3,2 miliardi di euro nel quinquennio 2025-29</w:t>
      </w:r>
      <w:r w:rsidRPr="00521A02">
        <w:rPr>
          <w:rFonts w:ascii="Bookman Old Style" w:hAnsi="Bookman Old Style"/>
        </w:rPr>
        <w:t xml:space="preserve"> e riguardano tutte le principali linee di intervento, oltre ad ulteriori 5 mld. di euro nel periodo 2030-37, per un totale complessivo di 8,2 mld. di euro.</w:t>
      </w:r>
    </w:p>
    <w:p w14:paraId="6F242344" w14:textId="1F8363FB" w:rsidR="009D6F69" w:rsidRDefault="009D6F69" w:rsidP="00BF47D2">
      <w:pPr>
        <w:spacing w:after="80"/>
        <w:jc w:val="both"/>
        <w:rPr>
          <w:rFonts w:ascii="Bookman Old Style" w:hAnsi="Bookman Old Style"/>
        </w:rPr>
      </w:pPr>
      <w:r>
        <w:rPr>
          <w:rFonts w:ascii="Bookman Old Style" w:hAnsi="Bookman Old Style"/>
        </w:rPr>
        <w:t>Risultano in particolare azzerate le linee di contribuzione rivolte ai Comuni fino a 1.000 ab. (</w:t>
      </w:r>
      <w:r w:rsidR="008C6432">
        <w:rPr>
          <w:rFonts w:ascii="Bookman Old Style" w:hAnsi="Bookman Old Style"/>
        </w:rPr>
        <w:t>art.30, co. 14-</w:t>
      </w:r>
      <w:r w:rsidR="008C6432">
        <w:rPr>
          <w:rFonts w:ascii="Bookman Old Style" w:hAnsi="Bookman Old Style"/>
          <w:i/>
          <w:iCs/>
        </w:rPr>
        <w:t>bis</w:t>
      </w:r>
      <w:r w:rsidR="008C6432">
        <w:rPr>
          <w:rFonts w:ascii="Bookman Old Style" w:hAnsi="Bookman Old Style"/>
        </w:rPr>
        <w:t>, dl 34/2019)</w:t>
      </w:r>
      <w:r w:rsidR="00EC37DB">
        <w:rPr>
          <w:rFonts w:ascii="Bookman Old Style" w:hAnsi="Bookman Old Style"/>
        </w:rPr>
        <w:t xml:space="preserve">, </w:t>
      </w:r>
      <w:r w:rsidR="00916A92">
        <w:rPr>
          <w:rFonts w:ascii="Bookman Old Style" w:hAnsi="Bookman Old Style"/>
        </w:rPr>
        <w:t xml:space="preserve">l’obbligo di finanziamento </w:t>
      </w:r>
      <w:r w:rsidR="00346793">
        <w:rPr>
          <w:rFonts w:ascii="Bookman Old Style" w:hAnsi="Bookman Old Style"/>
        </w:rPr>
        <w:t>da parte delle Regioni (co</w:t>
      </w:r>
      <w:r w:rsidR="001F440B">
        <w:rPr>
          <w:rFonts w:ascii="Bookman Old Style" w:hAnsi="Bookman Old Style"/>
        </w:rPr>
        <w:t>.</w:t>
      </w:r>
      <w:r w:rsidR="00346793">
        <w:rPr>
          <w:rFonts w:ascii="Bookman Old Style" w:hAnsi="Bookman Old Style"/>
        </w:rPr>
        <w:t xml:space="preserve"> 134, l. 145/2018</w:t>
      </w:r>
      <w:r w:rsidR="008910C3">
        <w:rPr>
          <w:rFonts w:ascii="Bookman Old Style" w:hAnsi="Bookman Old Style"/>
        </w:rPr>
        <w:t>, i progetti per la qualità dell’abi</w:t>
      </w:r>
      <w:r w:rsidR="003F4779">
        <w:rPr>
          <w:rFonts w:ascii="Bookman Old Style" w:hAnsi="Bookman Old Style"/>
        </w:rPr>
        <w:t>t</w:t>
      </w:r>
      <w:r w:rsidR="008910C3">
        <w:rPr>
          <w:rFonts w:ascii="Bookman Old Style" w:hAnsi="Bookman Old Style"/>
        </w:rPr>
        <w:t xml:space="preserve">are </w:t>
      </w:r>
      <w:r w:rsidR="003F4779">
        <w:rPr>
          <w:rFonts w:ascii="Bookman Old Style" w:hAnsi="Bookman Old Style"/>
        </w:rPr>
        <w:t>(</w:t>
      </w:r>
      <w:r w:rsidR="008910C3">
        <w:rPr>
          <w:rFonts w:ascii="Bookman Old Style" w:hAnsi="Bookman Old Style"/>
        </w:rPr>
        <w:t>PINQUA</w:t>
      </w:r>
      <w:r w:rsidR="003F4779">
        <w:rPr>
          <w:rFonts w:ascii="Bookman Old Style" w:hAnsi="Bookman Old Style"/>
        </w:rPr>
        <w:t>)</w:t>
      </w:r>
      <w:r w:rsidR="008910C3">
        <w:rPr>
          <w:rFonts w:ascii="Bookman Old Style" w:hAnsi="Bookman Old Style"/>
        </w:rPr>
        <w:t xml:space="preserve"> </w:t>
      </w:r>
      <w:r w:rsidR="003F4779">
        <w:rPr>
          <w:rFonts w:ascii="Bookman Old Style" w:hAnsi="Bookman Old Style"/>
        </w:rPr>
        <w:t xml:space="preserve">e </w:t>
      </w:r>
      <w:r w:rsidR="008C6432">
        <w:rPr>
          <w:rFonts w:ascii="Bookman Old Style" w:hAnsi="Bookman Old Style"/>
        </w:rPr>
        <w:t xml:space="preserve">le </w:t>
      </w:r>
      <w:r w:rsidR="003F4779">
        <w:rPr>
          <w:rFonts w:ascii="Bookman Old Style" w:hAnsi="Bookman Old Style"/>
        </w:rPr>
        <w:t>“</w:t>
      </w:r>
      <w:r w:rsidR="008C6432">
        <w:rPr>
          <w:rFonts w:ascii="Bookman Old Style" w:hAnsi="Bookman Old Style"/>
        </w:rPr>
        <w:t>piccole opere</w:t>
      </w:r>
      <w:r w:rsidR="003F4779">
        <w:rPr>
          <w:rFonts w:ascii="Bookman Old Style" w:hAnsi="Bookman Old Style"/>
        </w:rPr>
        <w:t>”</w:t>
      </w:r>
      <w:r w:rsidR="008C6432">
        <w:rPr>
          <w:rFonts w:ascii="Bookman Old Style" w:hAnsi="Bookman Old Style"/>
        </w:rPr>
        <w:t xml:space="preserve"> </w:t>
      </w:r>
      <w:r w:rsidR="003F4779">
        <w:rPr>
          <w:rFonts w:ascii="Bookman Old Style" w:hAnsi="Bookman Old Style"/>
        </w:rPr>
        <w:t xml:space="preserve">per gli anni </w:t>
      </w:r>
      <w:r w:rsidR="00D15B34">
        <w:rPr>
          <w:rFonts w:ascii="Bookman Old Style" w:hAnsi="Bookman Old Style"/>
        </w:rPr>
        <w:t>successiv</w:t>
      </w:r>
      <w:r w:rsidR="003F4779">
        <w:rPr>
          <w:rFonts w:ascii="Bookman Old Style" w:hAnsi="Bookman Old Style"/>
        </w:rPr>
        <w:t>i</w:t>
      </w:r>
      <w:r w:rsidR="00D15B34">
        <w:rPr>
          <w:rFonts w:ascii="Bookman Old Style" w:hAnsi="Bookman Old Style"/>
        </w:rPr>
        <w:t xml:space="preserve"> al PNRR</w:t>
      </w:r>
      <w:r w:rsidR="00E8696A">
        <w:rPr>
          <w:rFonts w:ascii="Bookman Old Style" w:hAnsi="Bookman Old Style"/>
        </w:rPr>
        <w:t>,</w:t>
      </w:r>
      <w:r w:rsidR="00D15B34">
        <w:rPr>
          <w:rFonts w:ascii="Bookman Old Style" w:hAnsi="Bookman Old Style"/>
        </w:rPr>
        <w:t xml:space="preserve"> </w:t>
      </w:r>
      <w:r w:rsidR="00EC37DB">
        <w:rPr>
          <w:rFonts w:ascii="Bookman Old Style" w:hAnsi="Bookman Old Style"/>
        </w:rPr>
        <w:t xml:space="preserve">il fondo di supporto </w:t>
      </w:r>
      <w:r w:rsidR="00AD2D6E">
        <w:rPr>
          <w:rFonts w:ascii="Bookman Old Style" w:hAnsi="Bookman Old Style"/>
        </w:rPr>
        <w:t>agli enti sciolti per infiltrazioni mafiose e il fondo a sostegno della progettazione gestito dal MIT.</w:t>
      </w:r>
    </w:p>
    <w:p w14:paraId="35FEFF68" w14:textId="77777777" w:rsidR="00A17E66" w:rsidRDefault="00A17E66" w:rsidP="00BF47D2">
      <w:pPr>
        <w:spacing w:after="80"/>
        <w:jc w:val="both"/>
        <w:rPr>
          <w:rFonts w:ascii="Bookman Old Style" w:hAnsi="Bookman Old Style"/>
        </w:rPr>
      </w:pPr>
    </w:p>
    <w:p w14:paraId="5D4E903D" w14:textId="274D4AE4" w:rsidR="00E8696A" w:rsidRDefault="00E8696A" w:rsidP="00BF47D2">
      <w:pPr>
        <w:pStyle w:val="Titolo2"/>
        <w:numPr>
          <w:ilvl w:val="0"/>
          <w:numId w:val="39"/>
        </w:numPr>
        <w:spacing w:before="0"/>
        <w:rPr>
          <w:rFonts w:ascii="Bookman Old Style" w:hAnsi="Bookman Old Style"/>
          <w:b/>
          <w:bCs/>
          <w:sz w:val="22"/>
          <w:szCs w:val="22"/>
        </w:rPr>
      </w:pPr>
      <w:bookmarkStart w:id="11" w:name="_Toc185605211"/>
      <w:r>
        <w:rPr>
          <w:rFonts w:ascii="Bookman Old Style" w:hAnsi="Bookman Old Style"/>
          <w:b/>
          <w:bCs/>
          <w:sz w:val="22"/>
          <w:szCs w:val="22"/>
        </w:rPr>
        <w:lastRenderedPageBreak/>
        <w:t>Riduzioni di contributi a</w:t>
      </w:r>
      <w:r w:rsidR="00E701CE">
        <w:rPr>
          <w:rFonts w:ascii="Bookman Old Style" w:hAnsi="Bookman Old Style"/>
          <w:b/>
          <w:bCs/>
          <w:sz w:val="22"/>
          <w:szCs w:val="22"/>
        </w:rPr>
        <w:t>l</w:t>
      </w:r>
      <w:r>
        <w:rPr>
          <w:rFonts w:ascii="Bookman Old Style" w:hAnsi="Bookman Old Style"/>
          <w:b/>
          <w:bCs/>
          <w:sz w:val="22"/>
          <w:szCs w:val="22"/>
        </w:rPr>
        <w:t xml:space="preserve">le Città metropolitane e </w:t>
      </w:r>
      <w:r w:rsidR="00E701CE">
        <w:rPr>
          <w:rFonts w:ascii="Bookman Old Style" w:hAnsi="Bookman Old Style"/>
          <w:b/>
          <w:bCs/>
          <w:sz w:val="22"/>
          <w:szCs w:val="22"/>
        </w:rPr>
        <w:t>alle Province</w:t>
      </w:r>
      <w:bookmarkEnd w:id="11"/>
    </w:p>
    <w:p w14:paraId="14807E30" w14:textId="6662EED7" w:rsidR="00E701CE" w:rsidRDefault="00B40CAC" w:rsidP="00BF47D2">
      <w:pPr>
        <w:spacing w:after="80"/>
        <w:jc w:val="both"/>
        <w:rPr>
          <w:rFonts w:ascii="Bookman Old Style" w:hAnsi="Bookman Old Style"/>
        </w:rPr>
      </w:pPr>
      <w:r>
        <w:rPr>
          <w:rFonts w:ascii="Bookman Old Style" w:hAnsi="Bookman Old Style"/>
        </w:rPr>
        <w:t xml:space="preserve">La legge </w:t>
      </w:r>
      <w:r w:rsidR="001A76B2">
        <w:rPr>
          <w:rFonts w:ascii="Bookman Old Style" w:hAnsi="Bookman Old Style"/>
        </w:rPr>
        <w:t xml:space="preserve">dispone </w:t>
      </w:r>
      <w:r w:rsidR="00926E15">
        <w:rPr>
          <w:rFonts w:ascii="Bookman Old Style" w:hAnsi="Bookman Old Style"/>
        </w:rPr>
        <w:t xml:space="preserve">(co. </w:t>
      </w:r>
      <w:r w:rsidR="005C13F3">
        <w:rPr>
          <w:rFonts w:ascii="Bookman Old Style" w:hAnsi="Bookman Old Style"/>
        </w:rPr>
        <w:t>539-540</w:t>
      </w:r>
      <w:r w:rsidR="00926E15">
        <w:rPr>
          <w:rFonts w:ascii="Bookman Old Style" w:hAnsi="Bookman Old Style"/>
        </w:rPr>
        <w:t>)</w:t>
      </w:r>
      <w:r w:rsidR="00B43B5B">
        <w:rPr>
          <w:rFonts w:ascii="Bookman Old Style" w:hAnsi="Bookman Old Style"/>
        </w:rPr>
        <w:t xml:space="preserve"> </w:t>
      </w:r>
      <w:r w:rsidR="001A76B2" w:rsidRPr="00974DCF">
        <w:rPr>
          <w:rFonts w:ascii="Bookman Old Style" w:hAnsi="Bookman Old Style"/>
          <w:b/>
          <w:bCs/>
        </w:rPr>
        <w:t>riduzioni di contributi agli investimenti di Città metropolitane e Province</w:t>
      </w:r>
      <w:r w:rsidR="00737DD5">
        <w:rPr>
          <w:rFonts w:ascii="Bookman Old Style" w:hAnsi="Bookman Old Style"/>
        </w:rPr>
        <w:t xml:space="preserve"> in materia di rete viaria locale</w:t>
      </w:r>
      <w:r w:rsidR="00657EC5">
        <w:rPr>
          <w:rFonts w:ascii="Bookman Old Style" w:hAnsi="Bookman Old Style"/>
        </w:rPr>
        <w:t xml:space="preserve"> </w:t>
      </w:r>
      <w:r w:rsidR="00737DD5">
        <w:rPr>
          <w:rFonts w:ascii="Bookman Old Style" w:hAnsi="Bookman Old Style"/>
        </w:rPr>
        <w:t xml:space="preserve">per 295 mln. di euro nel </w:t>
      </w:r>
      <w:r w:rsidR="00657EC5">
        <w:rPr>
          <w:rFonts w:ascii="Bookman Old Style" w:hAnsi="Bookman Old Style"/>
        </w:rPr>
        <w:t xml:space="preserve">periodo 2025-29 </w:t>
      </w:r>
      <w:r w:rsidR="00F62BC6">
        <w:rPr>
          <w:rFonts w:ascii="Bookman Old Style" w:hAnsi="Bookman Old Style"/>
        </w:rPr>
        <w:t xml:space="preserve">e per circa </w:t>
      </w:r>
      <w:r w:rsidR="00664827">
        <w:rPr>
          <w:rFonts w:ascii="Bookman Old Style" w:hAnsi="Bookman Old Style"/>
        </w:rPr>
        <w:t>1,1 mld. di euro tra il 2030 e il 2036</w:t>
      </w:r>
      <w:r w:rsidR="000E34FF">
        <w:rPr>
          <w:rFonts w:ascii="Bookman Old Style" w:hAnsi="Bookman Old Style"/>
        </w:rPr>
        <w:t>.</w:t>
      </w:r>
    </w:p>
    <w:p w14:paraId="03F8D9FF" w14:textId="43D24972" w:rsidR="000E34FF" w:rsidRPr="00B40CAC" w:rsidRDefault="000E34FF" w:rsidP="00BF47D2">
      <w:pPr>
        <w:spacing w:after="80"/>
        <w:jc w:val="both"/>
        <w:rPr>
          <w:rFonts w:ascii="Bookman Old Style" w:hAnsi="Bookman Old Style"/>
        </w:rPr>
      </w:pPr>
      <w:r>
        <w:rPr>
          <w:rFonts w:ascii="Bookman Old Style" w:hAnsi="Bookman Old Style"/>
        </w:rPr>
        <w:t xml:space="preserve">Le riduzioni, pari complessivamente a circa 1,4 mld. </w:t>
      </w:r>
      <w:r w:rsidR="00630EDD">
        <w:rPr>
          <w:rFonts w:ascii="Bookman Old Style" w:hAnsi="Bookman Old Style"/>
        </w:rPr>
        <w:t xml:space="preserve">riguardano i finanziamenti </w:t>
      </w:r>
      <w:r w:rsidR="00926E15">
        <w:rPr>
          <w:rFonts w:ascii="Bookman Old Style" w:hAnsi="Bookman Old Style"/>
        </w:rPr>
        <w:t xml:space="preserve">originariamente </w:t>
      </w:r>
      <w:r w:rsidR="00630EDD">
        <w:rPr>
          <w:rFonts w:ascii="Bookman Old Style" w:hAnsi="Bookman Old Style"/>
        </w:rPr>
        <w:t xml:space="preserve">disposti con il co. 405 della legge </w:t>
      </w:r>
      <w:r w:rsidR="008D3C3C">
        <w:rPr>
          <w:rFonts w:ascii="Bookman Old Style" w:hAnsi="Bookman Old Style"/>
        </w:rPr>
        <w:t>234/2021 e il co. 1076 della legge 205/2017</w:t>
      </w:r>
    </w:p>
    <w:p w14:paraId="1F58290D" w14:textId="5CF582BB" w:rsidR="007C10F1" w:rsidRPr="00521A02" w:rsidRDefault="007C10F1" w:rsidP="005674E5">
      <w:pPr>
        <w:pStyle w:val="Titolo1"/>
        <w:spacing w:after="240"/>
        <w:rPr>
          <w:rFonts w:ascii="Bookman Old Style" w:hAnsi="Bookman Old Style"/>
          <w:b/>
          <w:bCs/>
          <w:sz w:val="22"/>
          <w:szCs w:val="22"/>
        </w:rPr>
      </w:pPr>
      <w:bookmarkStart w:id="12" w:name="_Toc185605212"/>
      <w:r w:rsidRPr="00521A02">
        <w:rPr>
          <w:rFonts w:ascii="Bookman Old Style" w:hAnsi="Bookman Old Style"/>
          <w:b/>
          <w:bCs/>
          <w:sz w:val="22"/>
          <w:szCs w:val="22"/>
        </w:rPr>
        <w:t>PERSONALE</w:t>
      </w:r>
      <w:bookmarkEnd w:id="12"/>
    </w:p>
    <w:p w14:paraId="02D3D70E" w14:textId="146A99B9" w:rsidR="007C10F1" w:rsidRPr="00521A02" w:rsidRDefault="007C10F1" w:rsidP="00BF47D2">
      <w:pPr>
        <w:pStyle w:val="Titolo2"/>
        <w:numPr>
          <w:ilvl w:val="0"/>
          <w:numId w:val="4"/>
        </w:numPr>
        <w:spacing w:before="0"/>
        <w:rPr>
          <w:rFonts w:ascii="Bookman Old Style" w:hAnsi="Bookman Old Style"/>
          <w:b/>
          <w:bCs/>
          <w:sz w:val="22"/>
          <w:szCs w:val="22"/>
        </w:rPr>
      </w:pPr>
      <w:bookmarkStart w:id="13" w:name="_Toc185605213"/>
      <w:r w:rsidRPr="00521A02">
        <w:rPr>
          <w:rFonts w:ascii="Bookman Old Style" w:hAnsi="Bookman Old Style"/>
          <w:b/>
          <w:bCs/>
          <w:sz w:val="22"/>
          <w:szCs w:val="22"/>
        </w:rPr>
        <w:t>Abrogazione riduzione del 25% del turn over (Art.</w:t>
      </w:r>
      <w:r w:rsidR="00BB184E" w:rsidRPr="00521A02">
        <w:rPr>
          <w:rFonts w:ascii="Bookman Old Style" w:hAnsi="Bookman Old Style"/>
          <w:b/>
          <w:bCs/>
          <w:sz w:val="22"/>
          <w:szCs w:val="22"/>
        </w:rPr>
        <w:t xml:space="preserve">1, commi </w:t>
      </w:r>
      <w:r w:rsidR="00914EC5" w:rsidRPr="00521A02">
        <w:rPr>
          <w:rFonts w:ascii="Bookman Old Style" w:hAnsi="Bookman Old Style"/>
          <w:b/>
          <w:bCs/>
          <w:sz w:val="22"/>
          <w:szCs w:val="22"/>
        </w:rPr>
        <w:t>822-845)</w:t>
      </w:r>
      <w:bookmarkEnd w:id="13"/>
    </w:p>
    <w:p w14:paraId="19E2991F" w14:textId="77A5C03F" w:rsidR="00A15DA2" w:rsidRPr="00521A02" w:rsidRDefault="00A15DA2" w:rsidP="00BF47D2">
      <w:pPr>
        <w:spacing w:after="80"/>
        <w:jc w:val="both"/>
        <w:rPr>
          <w:rFonts w:ascii="Bookman Old Style" w:hAnsi="Bookman Old Style"/>
        </w:rPr>
      </w:pPr>
      <w:r w:rsidRPr="00521A02">
        <w:rPr>
          <w:rFonts w:ascii="Bookman Old Style" w:hAnsi="Bookman Old Style"/>
        </w:rPr>
        <w:t xml:space="preserve">La norma, richiesta dall’ANCI e approvata in </w:t>
      </w:r>
      <w:r w:rsidR="008E7CBA" w:rsidRPr="00521A02">
        <w:rPr>
          <w:rFonts w:ascii="Bookman Old Style" w:hAnsi="Bookman Old Style"/>
        </w:rPr>
        <w:t>C</w:t>
      </w:r>
      <w:r w:rsidRPr="00521A02">
        <w:rPr>
          <w:rFonts w:ascii="Bookman Old Style" w:hAnsi="Bookman Old Style"/>
        </w:rPr>
        <w:t xml:space="preserve">ommissione </w:t>
      </w:r>
      <w:r w:rsidR="00F85548" w:rsidRPr="00521A02">
        <w:rPr>
          <w:rFonts w:ascii="Bookman Old Style" w:hAnsi="Bookman Old Style"/>
        </w:rPr>
        <w:t>B</w:t>
      </w:r>
      <w:r w:rsidRPr="00521A02">
        <w:rPr>
          <w:rFonts w:ascii="Bookman Old Style" w:hAnsi="Bookman Old Style"/>
        </w:rPr>
        <w:t>ilancio</w:t>
      </w:r>
      <w:r w:rsidR="00F85548" w:rsidRPr="00521A02">
        <w:rPr>
          <w:rFonts w:ascii="Bookman Old Style" w:hAnsi="Bookman Old Style"/>
        </w:rPr>
        <w:t xml:space="preserve"> Camera</w:t>
      </w:r>
      <w:r w:rsidRPr="00521A02">
        <w:rPr>
          <w:rFonts w:ascii="Bookman Old Style" w:hAnsi="Bookman Old Style"/>
        </w:rPr>
        <w:t xml:space="preserve">, abroga la disposizione che prevedeva per l'anno 2025 una riduzione del 25% del turn over per gli enti territoriali con più di venti dipendenti in servizio. </w:t>
      </w:r>
      <w:r w:rsidR="0070723C" w:rsidRPr="00481417">
        <w:rPr>
          <w:rFonts w:ascii="Bookman Old Style" w:hAnsi="Bookman Old Style"/>
          <w:b/>
          <w:bCs/>
        </w:rPr>
        <w:t>L’abrogazione rende dunque possibile</w:t>
      </w:r>
      <w:r w:rsidR="00833967" w:rsidRPr="00481417">
        <w:rPr>
          <w:rFonts w:ascii="Bookman Old Style" w:hAnsi="Bookman Old Style"/>
          <w:b/>
          <w:bCs/>
        </w:rPr>
        <w:t xml:space="preserve"> </w:t>
      </w:r>
      <w:r w:rsidR="00F44476" w:rsidRPr="00481417">
        <w:rPr>
          <w:rFonts w:ascii="Bookman Old Style" w:hAnsi="Bookman Old Style"/>
          <w:b/>
          <w:bCs/>
        </w:rPr>
        <w:t>assicurare</w:t>
      </w:r>
      <w:r w:rsidRPr="00481417">
        <w:rPr>
          <w:rFonts w:ascii="Bookman Old Style" w:hAnsi="Bookman Old Style"/>
          <w:b/>
          <w:bCs/>
        </w:rPr>
        <w:t xml:space="preserve"> continuità </w:t>
      </w:r>
      <w:r w:rsidR="00F44476" w:rsidRPr="00481417">
        <w:rPr>
          <w:rFonts w:ascii="Bookman Old Style" w:hAnsi="Bookman Old Style"/>
          <w:b/>
          <w:bCs/>
        </w:rPr>
        <w:t>ai</w:t>
      </w:r>
      <w:r w:rsidRPr="00481417">
        <w:rPr>
          <w:rFonts w:ascii="Bookman Old Style" w:hAnsi="Bookman Old Style"/>
          <w:b/>
          <w:bCs/>
        </w:rPr>
        <w:t xml:space="preserve"> servizi erogati dai Comuni</w:t>
      </w:r>
      <w:r w:rsidR="00EC1A18" w:rsidRPr="00481417">
        <w:rPr>
          <w:rFonts w:ascii="Bookman Old Style" w:hAnsi="Bookman Old Style"/>
          <w:b/>
          <w:bCs/>
        </w:rPr>
        <w:t xml:space="preserve"> e dalle Città Metropolitane</w:t>
      </w:r>
      <w:r w:rsidRPr="00521A02">
        <w:rPr>
          <w:rFonts w:ascii="Bookman Old Style" w:hAnsi="Bookman Old Style"/>
        </w:rPr>
        <w:t xml:space="preserve">, tenuto conto della forte riduzione di personale indotta dai vincoli assunzionali già vigenti da oltre un decennio, </w:t>
      </w:r>
      <w:r w:rsidR="00476CF7" w:rsidRPr="00521A02">
        <w:rPr>
          <w:rFonts w:ascii="Bookman Old Style" w:hAnsi="Bookman Old Style"/>
        </w:rPr>
        <w:t xml:space="preserve">e il mantenimento del </w:t>
      </w:r>
      <w:r w:rsidRPr="00521A02">
        <w:rPr>
          <w:rFonts w:ascii="Bookman Old Style" w:hAnsi="Bookman Old Style"/>
        </w:rPr>
        <w:t xml:space="preserve">sistema di calcolo della capacità assunzionale </w:t>
      </w:r>
      <w:r w:rsidR="00476CF7" w:rsidRPr="00521A02">
        <w:rPr>
          <w:rFonts w:ascii="Bookman Old Style" w:hAnsi="Bookman Old Style"/>
        </w:rPr>
        <w:t xml:space="preserve">correlata alla </w:t>
      </w:r>
      <w:r w:rsidRPr="00521A02">
        <w:rPr>
          <w:rFonts w:ascii="Bookman Old Style" w:hAnsi="Bookman Old Style"/>
        </w:rPr>
        <w:t xml:space="preserve">sostenibilità finanziaria </w:t>
      </w:r>
      <w:r w:rsidR="00476CF7" w:rsidRPr="00521A02">
        <w:rPr>
          <w:rFonts w:ascii="Bookman Old Style" w:hAnsi="Bookman Old Style"/>
        </w:rPr>
        <w:t>adottato a partire dal 2020</w:t>
      </w:r>
      <w:r w:rsidRPr="00521A02">
        <w:rPr>
          <w:rFonts w:ascii="Bookman Old Style" w:hAnsi="Bookman Old Style"/>
        </w:rPr>
        <w:t>.</w:t>
      </w:r>
    </w:p>
    <w:p w14:paraId="251909EA" w14:textId="77008912" w:rsidR="00A15DA2" w:rsidRPr="00521A02" w:rsidRDefault="00A15DA2" w:rsidP="00BF47D2">
      <w:pPr>
        <w:spacing w:after="80"/>
        <w:jc w:val="both"/>
        <w:rPr>
          <w:rFonts w:ascii="Bookman Old Style" w:hAnsi="Bookman Old Style"/>
        </w:rPr>
      </w:pPr>
      <w:r w:rsidRPr="00521A02">
        <w:rPr>
          <w:rFonts w:ascii="Bookman Old Style" w:hAnsi="Bookman Old Style"/>
        </w:rPr>
        <w:t xml:space="preserve">Il sistema di calcolo attualmente vigente garantisce che solo gli enti con una minore rigidità strutturale di bilancio possano reintegrare gli organici, mentre i Comuni che presentano una forte incidenza della spesa di personale sono già tenuti ad attuare un turn over ridotto al 30% del personale cessato per </w:t>
      </w:r>
      <w:r w:rsidR="00476CF7" w:rsidRPr="00521A02">
        <w:rPr>
          <w:rFonts w:ascii="Bookman Old Style" w:hAnsi="Bookman Old Style"/>
        </w:rPr>
        <w:t xml:space="preserve">riportare sotto controllo </w:t>
      </w:r>
      <w:r w:rsidRPr="00521A02">
        <w:rPr>
          <w:rFonts w:ascii="Bookman Old Style" w:hAnsi="Bookman Old Style"/>
        </w:rPr>
        <w:t xml:space="preserve">la spesa di personale. </w:t>
      </w:r>
    </w:p>
    <w:p w14:paraId="4C9E0CB4" w14:textId="1907AD69" w:rsidR="00A15DA2" w:rsidRPr="00521A02" w:rsidRDefault="00A15DA2" w:rsidP="00BF47D2">
      <w:pPr>
        <w:spacing w:after="80"/>
        <w:jc w:val="both"/>
        <w:rPr>
          <w:rFonts w:ascii="Bookman Old Style" w:hAnsi="Bookman Old Style"/>
        </w:rPr>
      </w:pPr>
      <w:r w:rsidRPr="00521A02">
        <w:rPr>
          <w:rFonts w:ascii="Bookman Old Style" w:hAnsi="Bookman Old Style"/>
        </w:rPr>
        <w:t xml:space="preserve">Si fa inoltre presente che a decorrere dall’anno 2025 l’applicazione del DM 17 marzo 2020, relativo alla determinazione della capacità assunzionale dei Comuni, </w:t>
      </w:r>
      <w:r w:rsidR="00851C33">
        <w:rPr>
          <w:rFonts w:ascii="Bookman Old Style" w:hAnsi="Bookman Old Style"/>
        </w:rPr>
        <w:t>risulterà semplificata</w:t>
      </w:r>
      <w:r w:rsidRPr="00521A02">
        <w:rPr>
          <w:rFonts w:ascii="Bookman Old Style" w:hAnsi="Bookman Old Style"/>
        </w:rPr>
        <w:t xml:space="preserve">, in quanto non saranno più previste limitazioni alle percentuali annue di crescita della spesa di personale, ma dovranno essere rispettati esclusivamente i valori soglia </w:t>
      </w:r>
      <w:r w:rsidR="00476CF7" w:rsidRPr="00521A02">
        <w:rPr>
          <w:rFonts w:ascii="Bookman Old Style" w:hAnsi="Bookman Old Style"/>
        </w:rPr>
        <w:t xml:space="preserve">determinati </w:t>
      </w:r>
      <w:r w:rsidRPr="00521A02">
        <w:rPr>
          <w:rFonts w:ascii="Bookman Old Style" w:hAnsi="Bookman Old Style"/>
        </w:rPr>
        <w:t>per classe demografica.</w:t>
      </w:r>
    </w:p>
    <w:p w14:paraId="4B759A6B" w14:textId="437D21B9" w:rsidR="006A5A3C" w:rsidRPr="00521A02" w:rsidRDefault="006A5A3C" w:rsidP="00BF47D2">
      <w:pPr>
        <w:pStyle w:val="Titolo2"/>
        <w:numPr>
          <w:ilvl w:val="0"/>
          <w:numId w:val="4"/>
        </w:numPr>
        <w:spacing w:before="0"/>
        <w:rPr>
          <w:rFonts w:ascii="Bookman Old Style" w:hAnsi="Bookman Old Style"/>
          <w:b/>
          <w:bCs/>
          <w:sz w:val="22"/>
          <w:szCs w:val="22"/>
        </w:rPr>
      </w:pPr>
      <w:bookmarkStart w:id="14" w:name="_Toc185605214"/>
      <w:r w:rsidRPr="00521A02">
        <w:rPr>
          <w:rFonts w:ascii="Bookman Old Style" w:hAnsi="Bookman Old Style"/>
          <w:b/>
          <w:bCs/>
          <w:sz w:val="22"/>
          <w:szCs w:val="22"/>
        </w:rPr>
        <w:t>Welfare contrattuale</w:t>
      </w:r>
      <w:r w:rsidR="003D23B4" w:rsidRPr="00521A02">
        <w:rPr>
          <w:rFonts w:ascii="Bookman Old Style" w:hAnsi="Bookman Old Style"/>
          <w:b/>
          <w:bCs/>
          <w:sz w:val="22"/>
          <w:szCs w:val="22"/>
        </w:rPr>
        <w:t xml:space="preserve"> </w:t>
      </w:r>
      <w:r w:rsidR="009E3877" w:rsidRPr="00521A02">
        <w:rPr>
          <w:rFonts w:ascii="Bookman Old Style" w:hAnsi="Bookman Old Style"/>
          <w:b/>
          <w:bCs/>
          <w:sz w:val="22"/>
          <w:szCs w:val="22"/>
        </w:rPr>
        <w:t>(</w:t>
      </w:r>
      <w:r w:rsidR="003D23B4" w:rsidRPr="00521A02">
        <w:rPr>
          <w:rFonts w:ascii="Bookman Old Style" w:hAnsi="Bookman Old Style"/>
          <w:b/>
          <w:bCs/>
          <w:sz w:val="22"/>
          <w:szCs w:val="22"/>
        </w:rPr>
        <w:t>Art</w:t>
      </w:r>
      <w:r w:rsidR="009E3877" w:rsidRPr="00521A02">
        <w:rPr>
          <w:rFonts w:ascii="Bookman Old Style" w:hAnsi="Bookman Old Style"/>
          <w:b/>
          <w:bCs/>
          <w:sz w:val="22"/>
          <w:szCs w:val="22"/>
        </w:rPr>
        <w:t>. 1</w:t>
      </w:r>
      <w:r w:rsidR="00241492" w:rsidRPr="00521A02">
        <w:rPr>
          <w:rFonts w:ascii="Bookman Old Style" w:hAnsi="Bookman Old Style"/>
          <w:b/>
          <w:bCs/>
          <w:sz w:val="22"/>
          <w:szCs w:val="22"/>
        </w:rPr>
        <w:t>, commi 124-127</w:t>
      </w:r>
      <w:r w:rsidR="009E3877" w:rsidRPr="00521A02">
        <w:rPr>
          <w:rFonts w:ascii="Bookman Old Style" w:hAnsi="Bookman Old Style"/>
          <w:b/>
          <w:bCs/>
          <w:sz w:val="22"/>
          <w:szCs w:val="22"/>
        </w:rPr>
        <w:t>)</w:t>
      </w:r>
      <w:bookmarkEnd w:id="14"/>
    </w:p>
    <w:p w14:paraId="7BF4F122" w14:textId="6DA2DAA1" w:rsidR="00241492" w:rsidRPr="00521A02" w:rsidRDefault="00896157" w:rsidP="00BF47D2">
      <w:pPr>
        <w:spacing w:after="80"/>
        <w:jc w:val="both"/>
        <w:rPr>
          <w:rFonts w:ascii="Bookman Old Style" w:hAnsi="Bookman Old Style"/>
        </w:rPr>
      </w:pPr>
      <w:r w:rsidRPr="00521A02">
        <w:rPr>
          <w:rFonts w:ascii="Bookman Old Style" w:hAnsi="Bookman Old Style"/>
        </w:rPr>
        <w:t>La norma</w:t>
      </w:r>
      <w:r w:rsidR="00C4473E" w:rsidRPr="00521A02">
        <w:rPr>
          <w:rFonts w:ascii="Bookman Old Style" w:hAnsi="Bookman Old Style"/>
        </w:rPr>
        <w:t>,</w:t>
      </w:r>
      <w:r w:rsidRPr="00521A02">
        <w:rPr>
          <w:rFonts w:ascii="Bookman Old Style" w:hAnsi="Bookman Old Style"/>
        </w:rPr>
        <w:t xml:space="preserve"> approvata in </w:t>
      </w:r>
      <w:r w:rsidR="002A06D3" w:rsidRPr="00521A02">
        <w:rPr>
          <w:rFonts w:ascii="Bookman Old Style" w:hAnsi="Bookman Old Style"/>
        </w:rPr>
        <w:t>C</w:t>
      </w:r>
      <w:r w:rsidRPr="00521A02">
        <w:rPr>
          <w:rFonts w:ascii="Bookman Old Style" w:hAnsi="Bookman Old Style"/>
        </w:rPr>
        <w:t xml:space="preserve">ommissione </w:t>
      </w:r>
      <w:r w:rsidR="00E3067A" w:rsidRPr="00521A02">
        <w:rPr>
          <w:rFonts w:ascii="Bookman Old Style" w:hAnsi="Bookman Old Style"/>
        </w:rPr>
        <w:t>B</w:t>
      </w:r>
      <w:r w:rsidRPr="00521A02">
        <w:rPr>
          <w:rFonts w:ascii="Bookman Old Style" w:hAnsi="Bookman Old Style"/>
        </w:rPr>
        <w:t>ilancio</w:t>
      </w:r>
      <w:r w:rsidR="00E3067A" w:rsidRPr="00521A02">
        <w:rPr>
          <w:rFonts w:ascii="Bookman Old Style" w:hAnsi="Bookman Old Style"/>
        </w:rPr>
        <w:t xml:space="preserve"> Camera</w:t>
      </w:r>
      <w:r w:rsidRPr="00521A02">
        <w:rPr>
          <w:rFonts w:ascii="Bookman Old Style" w:hAnsi="Bookman Old Style"/>
        </w:rPr>
        <w:t>, p</w:t>
      </w:r>
      <w:r w:rsidR="006A5A3C" w:rsidRPr="00521A02">
        <w:rPr>
          <w:rFonts w:ascii="Bookman Old Style" w:hAnsi="Bookman Old Style"/>
        </w:rPr>
        <w:t xml:space="preserve">revede la soggezione al limite dei trattamenti economici accessori </w:t>
      </w:r>
      <w:r w:rsidR="00476CF7" w:rsidRPr="00521A02">
        <w:rPr>
          <w:rFonts w:ascii="Bookman Old Style" w:hAnsi="Bookman Old Style"/>
        </w:rPr>
        <w:t xml:space="preserve">di cui </w:t>
      </w:r>
      <w:r w:rsidR="006A5A3C" w:rsidRPr="00521A02">
        <w:rPr>
          <w:rFonts w:ascii="Bookman Old Style" w:hAnsi="Bookman Old Style"/>
        </w:rPr>
        <w:t>all’art. 23</w:t>
      </w:r>
      <w:r w:rsidR="00476CF7" w:rsidRPr="00521A02">
        <w:rPr>
          <w:rFonts w:ascii="Bookman Old Style" w:hAnsi="Bookman Old Style"/>
        </w:rPr>
        <w:t>,</w:t>
      </w:r>
      <w:r w:rsidR="009E3877" w:rsidRPr="00521A02">
        <w:rPr>
          <w:rFonts w:ascii="Bookman Old Style" w:hAnsi="Bookman Old Style"/>
        </w:rPr>
        <w:t xml:space="preserve"> c</w:t>
      </w:r>
      <w:r w:rsidR="006A5A3C" w:rsidRPr="00521A02">
        <w:rPr>
          <w:rFonts w:ascii="Bookman Old Style" w:hAnsi="Bookman Old Style"/>
        </w:rPr>
        <w:t>omma 2, del DL n. 75/2017 delle risorse destinate, nell'ambito della contrattazione integrativa, a benefici di natura assistenziale e sociale in materia di welfare integrativo, fatte salve le risorse riconosciute a tale fine da specifiche disposizioni di legge o da previgenti norme di contratto collettivo nazionale.</w:t>
      </w:r>
      <w:r w:rsidR="00F27729" w:rsidRPr="00521A02">
        <w:rPr>
          <w:rFonts w:ascii="Bookman Old Style" w:hAnsi="Bookman Old Style"/>
        </w:rPr>
        <w:t xml:space="preserve"> </w:t>
      </w:r>
      <w:r w:rsidR="00F27729" w:rsidRPr="00481417">
        <w:rPr>
          <w:rFonts w:ascii="Bookman Old Style" w:hAnsi="Bookman Old Style"/>
          <w:b/>
          <w:bCs/>
        </w:rPr>
        <w:t xml:space="preserve">Tale disposizione </w:t>
      </w:r>
      <w:r w:rsidR="008A5556" w:rsidRPr="00481417">
        <w:rPr>
          <w:rFonts w:ascii="Bookman Old Style" w:hAnsi="Bookman Old Style"/>
          <w:b/>
          <w:bCs/>
        </w:rPr>
        <w:t>crea difficoltà</w:t>
      </w:r>
      <w:r w:rsidR="008A5556" w:rsidRPr="00521A02">
        <w:rPr>
          <w:rFonts w:ascii="Bookman Old Style" w:hAnsi="Bookman Old Style"/>
        </w:rPr>
        <w:t xml:space="preserve"> operative ai Comuni</w:t>
      </w:r>
      <w:r w:rsidR="001C3B6E" w:rsidRPr="00521A02">
        <w:rPr>
          <w:rFonts w:ascii="Bookman Old Style" w:hAnsi="Bookman Old Style"/>
        </w:rPr>
        <w:t xml:space="preserve"> </w:t>
      </w:r>
      <w:r w:rsidR="00073255" w:rsidRPr="00521A02">
        <w:rPr>
          <w:rFonts w:ascii="Bookman Old Style" w:hAnsi="Bookman Old Style"/>
        </w:rPr>
        <w:t xml:space="preserve">e alle </w:t>
      </w:r>
      <w:r w:rsidR="00F37FD4" w:rsidRPr="00521A02">
        <w:rPr>
          <w:rFonts w:ascii="Bookman Old Style" w:hAnsi="Bookman Old Style"/>
        </w:rPr>
        <w:t>Città M</w:t>
      </w:r>
      <w:r w:rsidR="00404151" w:rsidRPr="00521A02">
        <w:rPr>
          <w:rFonts w:ascii="Bookman Old Style" w:hAnsi="Bookman Old Style"/>
        </w:rPr>
        <w:t>e</w:t>
      </w:r>
      <w:r w:rsidR="00F37FD4" w:rsidRPr="00521A02">
        <w:rPr>
          <w:rFonts w:ascii="Bookman Old Style" w:hAnsi="Bookman Old Style"/>
        </w:rPr>
        <w:t>tropolitane</w:t>
      </w:r>
      <w:r w:rsidR="00404151" w:rsidRPr="00521A02">
        <w:rPr>
          <w:rFonts w:ascii="Bookman Old Style" w:hAnsi="Bookman Old Style"/>
        </w:rPr>
        <w:t xml:space="preserve"> </w:t>
      </w:r>
      <w:r w:rsidR="00140B42" w:rsidRPr="00521A02">
        <w:rPr>
          <w:rFonts w:ascii="Bookman Old Style" w:hAnsi="Bookman Old Style"/>
        </w:rPr>
        <w:t xml:space="preserve">sede di contrattazione decentrata </w:t>
      </w:r>
      <w:r w:rsidR="00404151" w:rsidRPr="00521A02">
        <w:rPr>
          <w:rFonts w:ascii="Bookman Old Style" w:hAnsi="Bookman Old Style"/>
        </w:rPr>
        <w:t xml:space="preserve">integrativa </w:t>
      </w:r>
      <w:r w:rsidR="00716A0A" w:rsidRPr="00521A02">
        <w:rPr>
          <w:rFonts w:ascii="Bookman Old Style" w:hAnsi="Bookman Old Style"/>
        </w:rPr>
        <w:t xml:space="preserve">anche alla luce </w:t>
      </w:r>
      <w:r w:rsidR="00481417" w:rsidRPr="00521A02">
        <w:rPr>
          <w:rFonts w:ascii="Bookman Old Style" w:hAnsi="Bookman Old Style"/>
        </w:rPr>
        <w:t>della recentissima</w:t>
      </w:r>
      <w:r w:rsidR="00404151" w:rsidRPr="00521A02">
        <w:rPr>
          <w:rFonts w:ascii="Bookman Old Style" w:hAnsi="Bookman Old Style"/>
        </w:rPr>
        <w:t xml:space="preserve"> pronuncia della sezione </w:t>
      </w:r>
      <w:r w:rsidR="00925333" w:rsidRPr="00521A02">
        <w:rPr>
          <w:rFonts w:ascii="Bookman Old Style" w:hAnsi="Bookman Old Style"/>
        </w:rPr>
        <w:t xml:space="preserve">delle </w:t>
      </w:r>
      <w:r w:rsidR="00404151" w:rsidRPr="00521A02">
        <w:rPr>
          <w:rFonts w:ascii="Bookman Old Style" w:hAnsi="Bookman Old Style"/>
        </w:rPr>
        <w:t>Autonomie della Corte dei Conti n. 17</w:t>
      </w:r>
      <w:r w:rsidR="008C3B83" w:rsidRPr="00521A02">
        <w:rPr>
          <w:rFonts w:ascii="Bookman Old Style" w:hAnsi="Bookman Old Style"/>
        </w:rPr>
        <w:t xml:space="preserve">/2024. </w:t>
      </w:r>
    </w:p>
    <w:p w14:paraId="7637C66C" w14:textId="77777777" w:rsidR="00F3794D" w:rsidRPr="00521A02" w:rsidRDefault="006A5A3C" w:rsidP="00BF47D2">
      <w:pPr>
        <w:pStyle w:val="Titolo2"/>
        <w:numPr>
          <w:ilvl w:val="0"/>
          <w:numId w:val="4"/>
        </w:numPr>
        <w:spacing w:before="0"/>
        <w:rPr>
          <w:rFonts w:ascii="Bookman Old Style" w:hAnsi="Bookman Old Style"/>
          <w:b/>
          <w:bCs/>
          <w:sz w:val="22"/>
          <w:szCs w:val="22"/>
        </w:rPr>
      </w:pPr>
      <w:bookmarkStart w:id="15" w:name="_Toc185605215"/>
      <w:r w:rsidRPr="00521A02">
        <w:rPr>
          <w:rFonts w:ascii="Bookman Old Style" w:hAnsi="Bookman Old Style"/>
          <w:b/>
          <w:bCs/>
          <w:sz w:val="22"/>
          <w:szCs w:val="22"/>
        </w:rPr>
        <w:t>Mobilità di personale</w:t>
      </w:r>
      <w:r w:rsidR="003D23B4" w:rsidRPr="00521A02">
        <w:rPr>
          <w:rFonts w:ascii="Bookman Old Style" w:hAnsi="Bookman Old Style"/>
          <w:b/>
          <w:bCs/>
          <w:sz w:val="22"/>
          <w:szCs w:val="22"/>
        </w:rPr>
        <w:t xml:space="preserve"> </w:t>
      </w:r>
      <w:r w:rsidR="00F3794D" w:rsidRPr="00521A02">
        <w:rPr>
          <w:rFonts w:ascii="Bookman Old Style" w:hAnsi="Bookman Old Style"/>
          <w:b/>
          <w:bCs/>
          <w:sz w:val="22"/>
          <w:szCs w:val="22"/>
        </w:rPr>
        <w:t>(Art. 1, commi 124-127)</w:t>
      </w:r>
      <w:bookmarkEnd w:id="15"/>
    </w:p>
    <w:p w14:paraId="04D1DB87" w14:textId="079A5242" w:rsidR="006A5A3C" w:rsidRPr="00521A02" w:rsidRDefault="002F54D0" w:rsidP="00BF47D2">
      <w:pPr>
        <w:spacing w:after="80"/>
        <w:jc w:val="both"/>
        <w:rPr>
          <w:rFonts w:ascii="Bookman Old Style" w:hAnsi="Bookman Old Style"/>
        </w:rPr>
      </w:pPr>
      <w:r w:rsidRPr="00521A02">
        <w:rPr>
          <w:rFonts w:ascii="Bookman Old Style" w:hAnsi="Bookman Old Style"/>
        </w:rPr>
        <w:t>P</w:t>
      </w:r>
      <w:r w:rsidR="006A5A3C" w:rsidRPr="00521A02">
        <w:rPr>
          <w:rFonts w:ascii="Bookman Old Style" w:hAnsi="Bookman Old Style"/>
        </w:rPr>
        <w:t xml:space="preserve">er gli enti che determinano la propria capacità assunzionale </w:t>
      </w:r>
      <w:r w:rsidR="00A87948" w:rsidRPr="00521A02">
        <w:rPr>
          <w:rFonts w:ascii="Bookman Old Style" w:hAnsi="Bookman Old Style"/>
        </w:rPr>
        <w:t>ancora</w:t>
      </w:r>
      <w:r w:rsidR="00E06F25" w:rsidRPr="00521A02">
        <w:rPr>
          <w:rFonts w:ascii="Bookman Old Style" w:hAnsi="Bookman Old Style"/>
        </w:rPr>
        <w:t xml:space="preserve"> </w:t>
      </w:r>
      <w:r w:rsidR="006A5A3C" w:rsidRPr="00521A02">
        <w:rPr>
          <w:rFonts w:ascii="Bookman Old Style" w:hAnsi="Bookman Old Style"/>
        </w:rPr>
        <w:t xml:space="preserve">in base alla regola del turn-over, come </w:t>
      </w:r>
      <w:r w:rsidR="00E06F25" w:rsidRPr="00521A02">
        <w:rPr>
          <w:rFonts w:ascii="Bookman Old Style" w:hAnsi="Bookman Old Style"/>
        </w:rPr>
        <w:t xml:space="preserve">per </w:t>
      </w:r>
      <w:r w:rsidR="006A5A3C" w:rsidRPr="00521A02">
        <w:rPr>
          <w:rFonts w:ascii="Bookman Old Style" w:hAnsi="Bookman Old Style"/>
        </w:rPr>
        <w:t>le Unioni di Comuni, viene disposto il superamento della c.d. neutralità finanziaria: per le procedure di mobilità attivate a partire dall’entrata in vigore della legge di bilancio le mobilità in uscita libereranno capacità assunzionale, mentre le mobilità in entrata saranno effettuate a valere sulla capacità assunzionale.</w:t>
      </w:r>
    </w:p>
    <w:p w14:paraId="6DE2B09A" w14:textId="77777777" w:rsidR="00B469EC" w:rsidRPr="00521A02" w:rsidRDefault="00B469EC" w:rsidP="005674E5">
      <w:pPr>
        <w:pStyle w:val="Titolo1"/>
        <w:spacing w:after="240"/>
        <w:rPr>
          <w:rFonts w:ascii="Bookman Old Style" w:hAnsi="Bookman Old Style"/>
          <w:b/>
          <w:bCs/>
          <w:sz w:val="22"/>
          <w:szCs w:val="22"/>
        </w:rPr>
      </w:pPr>
      <w:bookmarkStart w:id="16" w:name="_Toc185605216"/>
      <w:r w:rsidRPr="00521A02">
        <w:rPr>
          <w:rFonts w:ascii="Bookman Old Style" w:hAnsi="Bookman Old Style"/>
          <w:b/>
          <w:bCs/>
          <w:sz w:val="22"/>
          <w:szCs w:val="22"/>
        </w:rPr>
        <w:t>FINANZA LOCALE</w:t>
      </w:r>
      <w:bookmarkEnd w:id="16"/>
    </w:p>
    <w:p w14:paraId="00342DFE" w14:textId="2D61185C" w:rsidR="005E18A3" w:rsidRPr="00521A02" w:rsidRDefault="005E18A3" w:rsidP="00BF47D2">
      <w:pPr>
        <w:pStyle w:val="Titolo2"/>
        <w:numPr>
          <w:ilvl w:val="0"/>
          <w:numId w:val="6"/>
        </w:numPr>
        <w:spacing w:before="0"/>
        <w:rPr>
          <w:rFonts w:ascii="Bookman Old Style" w:eastAsia="Times New Roman" w:hAnsi="Bookman Old Style"/>
          <w:b/>
          <w:bCs/>
          <w:sz w:val="22"/>
          <w:szCs w:val="22"/>
        </w:rPr>
      </w:pPr>
      <w:bookmarkStart w:id="17" w:name="_Toc185516717"/>
      <w:bookmarkStart w:id="18" w:name="_Toc185605217"/>
      <w:r w:rsidRPr="00521A02">
        <w:rPr>
          <w:rFonts w:ascii="Bookman Old Style" w:eastAsia="Times New Roman" w:hAnsi="Bookman Old Style"/>
          <w:b/>
          <w:bCs/>
          <w:sz w:val="22"/>
          <w:szCs w:val="22"/>
        </w:rPr>
        <w:t xml:space="preserve">Modifiche al </w:t>
      </w:r>
      <w:r w:rsidR="00180831" w:rsidRPr="00521A02">
        <w:rPr>
          <w:rFonts w:ascii="Bookman Old Style" w:eastAsia="Times New Roman" w:hAnsi="Bookman Old Style"/>
          <w:b/>
          <w:bCs/>
          <w:sz w:val="22"/>
          <w:szCs w:val="22"/>
        </w:rPr>
        <w:t>C</w:t>
      </w:r>
      <w:r w:rsidRPr="00521A02">
        <w:rPr>
          <w:rFonts w:ascii="Bookman Old Style" w:eastAsia="Times New Roman" w:hAnsi="Bookman Old Style"/>
          <w:b/>
          <w:bCs/>
          <w:sz w:val="22"/>
          <w:szCs w:val="22"/>
        </w:rPr>
        <w:t>anone Unico Patrimoniale (Art. 1, commi 755-758)</w:t>
      </w:r>
      <w:bookmarkEnd w:id="17"/>
      <w:bookmarkEnd w:id="18"/>
      <w:r w:rsidRPr="00521A02">
        <w:rPr>
          <w:rFonts w:ascii="Bookman Old Style" w:eastAsia="Times New Roman" w:hAnsi="Bookman Old Style"/>
          <w:b/>
          <w:bCs/>
          <w:sz w:val="22"/>
          <w:szCs w:val="22"/>
        </w:rPr>
        <w:t> </w:t>
      </w:r>
    </w:p>
    <w:p w14:paraId="6CD51CAC" w14:textId="15599861" w:rsidR="005E18A3" w:rsidRPr="00521A02" w:rsidRDefault="005E18A3" w:rsidP="00BF47D2">
      <w:pPr>
        <w:autoSpaceDE w:val="0"/>
        <w:autoSpaceDN w:val="0"/>
        <w:spacing w:after="80"/>
        <w:jc w:val="both"/>
        <w:rPr>
          <w:rFonts w:ascii="Bookman Old Style" w:hAnsi="Bookman Old Style"/>
        </w:rPr>
      </w:pPr>
      <w:r w:rsidRPr="00521A02">
        <w:rPr>
          <w:rFonts w:ascii="Bookman Old Style" w:hAnsi="Bookman Old Style"/>
        </w:rPr>
        <w:t>Le nuove disposizioni introdotte nel corso dell’esame in Commissione Bilancio prevedono modifiche alla disciplina del Canone unico patrimoniale di cui di cui ai commi 816 e seguenti dell’art. 1 della legge n. 160 del 2019 ed intervengono sui seguenti commi: </w:t>
      </w:r>
    </w:p>
    <w:p w14:paraId="46B9E38D" w14:textId="77777777" w:rsidR="005E18A3" w:rsidRPr="00521A02" w:rsidRDefault="005E18A3" w:rsidP="00BF47D2">
      <w:pPr>
        <w:numPr>
          <w:ilvl w:val="0"/>
          <w:numId w:val="29"/>
        </w:numPr>
        <w:tabs>
          <w:tab w:val="clear" w:pos="720"/>
          <w:tab w:val="num" w:pos="360"/>
        </w:tabs>
        <w:autoSpaceDE w:val="0"/>
        <w:autoSpaceDN w:val="0"/>
        <w:spacing w:after="80"/>
        <w:ind w:left="360"/>
        <w:jc w:val="both"/>
        <w:rPr>
          <w:rFonts w:ascii="Bookman Old Style" w:eastAsia="Times New Roman" w:hAnsi="Bookman Old Style"/>
        </w:rPr>
      </w:pPr>
      <w:r w:rsidRPr="00521A02">
        <w:rPr>
          <w:rFonts w:ascii="Bookman Old Style" w:eastAsia="Times New Roman" w:hAnsi="Bookman Old Style"/>
        </w:rPr>
        <w:lastRenderedPageBreak/>
        <w:t>comma 817 prevedendo che la possibilità di variare il gettito del CUP – fermo restando il totale del gettito pari a quello del 2019 – attraverso la modifica delle tariffe attuata secondo criteri di ragionevolezza e di gradualità in ragione dell’impatto ambientale e urbani-stico delle occupazioni e delle esposizioni pubblicitarie  oggetto  del  canone  e  della loro incidenza su elementi di arredo urbano o sui mezzi dei servizi di trasporto pubblico  locale  o  dei  servizi  di  mobilità sostenibile; </w:t>
      </w:r>
    </w:p>
    <w:p w14:paraId="645B8431" w14:textId="44788040" w:rsidR="005E18A3" w:rsidRPr="00521A02" w:rsidRDefault="00525A44" w:rsidP="00BF47D2">
      <w:pPr>
        <w:numPr>
          <w:ilvl w:val="0"/>
          <w:numId w:val="30"/>
        </w:numPr>
        <w:tabs>
          <w:tab w:val="clear" w:pos="720"/>
          <w:tab w:val="num" w:pos="360"/>
        </w:tabs>
        <w:autoSpaceDE w:val="0"/>
        <w:autoSpaceDN w:val="0"/>
        <w:spacing w:after="80"/>
        <w:ind w:left="360"/>
        <w:jc w:val="both"/>
        <w:rPr>
          <w:rFonts w:ascii="Bookman Old Style" w:eastAsia="Times New Roman" w:hAnsi="Bookman Old Style"/>
        </w:rPr>
      </w:pPr>
      <w:r>
        <w:rPr>
          <w:rFonts w:ascii="Bookman Old Style" w:eastAsia="Times New Roman" w:hAnsi="Bookman Old Style"/>
        </w:rPr>
        <w:t>c</w:t>
      </w:r>
      <w:r w:rsidR="005E18A3" w:rsidRPr="00521A02">
        <w:rPr>
          <w:rFonts w:ascii="Bookman Old Style" w:eastAsia="Times New Roman" w:hAnsi="Bookman Old Style"/>
        </w:rPr>
        <w:t>omma 821, lett.d) prevedendo che il regolamento che disciplina il CUP deve indicare la superficie degli impianti destinati dal comune al servizio delle pubbliche affissioni, ove il Comune continui a svolgere tale servizio; </w:t>
      </w:r>
    </w:p>
    <w:p w14:paraId="25EB4230" w14:textId="7EE63EDD" w:rsidR="005E18A3" w:rsidRPr="00521A02" w:rsidRDefault="00525A44" w:rsidP="00BF47D2">
      <w:pPr>
        <w:numPr>
          <w:ilvl w:val="0"/>
          <w:numId w:val="31"/>
        </w:numPr>
        <w:tabs>
          <w:tab w:val="clear" w:pos="720"/>
          <w:tab w:val="num" w:pos="360"/>
        </w:tabs>
        <w:autoSpaceDE w:val="0"/>
        <w:autoSpaceDN w:val="0"/>
        <w:spacing w:after="80"/>
        <w:ind w:left="360"/>
        <w:jc w:val="both"/>
        <w:rPr>
          <w:rFonts w:ascii="Bookman Old Style" w:eastAsia="Times New Roman" w:hAnsi="Bookman Old Style"/>
        </w:rPr>
      </w:pPr>
      <w:r>
        <w:rPr>
          <w:rFonts w:ascii="Bookman Old Style" w:eastAsia="Times New Roman" w:hAnsi="Bookman Old Style"/>
        </w:rPr>
        <w:t>c</w:t>
      </w:r>
      <w:r w:rsidR="005E18A3" w:rsidRPr="00521A02">
        <w:rPr>
          <w:rFonts w:ascii="Bookman Old Style" w:eastAsia="Times New Roman" w:hAnsi="Bookman Old Style"/>
        </w:rPr>
        <w:t>omma 821, lett f), prevedendo che sempre con regolamento, i Comuni possono ridurre fino alla metà in canone per gli impianti ubicati su suolo privato o comunque in aree private; </w:t>
      </w:r>
    </w:p>
    <w:p w14:paraId="4D5704FA" w14:textId="5264E817" w:rsidR="005E18A3" w:rsidRPr="00521A02" w:rsidRDefault="00525A44" w:rsidP="00BF47D2">
      <w:pPr>
        <w:numPr>
          <w:ilvl w:val="0"/>
          <w:numId w:val="32"/>
        </w:numPr>
        <w:tabs>
          <w:tab w:val="clear" w:pos="720"/>
          <w:tab w:val="num" w:pos="360"/>
        </w:tabs>
        <w:autoSpaceDE w:val="0"/>
        <w:autoSpaceDN w:val="0"/>
        <w:spacing w:after="80"/>
        <w:ind w:left="360"/>
        <w:jc w:val="both"/>
        <w:rPr>
          <w:rFonts w:ascii="Bookman Old Style" w:eastAsia="Times New Roman" w:hAnsi="Bookman Old Style"/>
        </w:rPr>
      </w:pPr>
      <w:r>
        <w:rPr>
          <w:rFonts w:ascii="Bookman Old Style" w:eastAsia="Times New Roman" w:hAnsi="Bookman Old Style"/>
        </w:rPr>
        <w:t>c</w:t>
      </w:r>
      <w:r w:rsidR="005E18A3" w:rsidRPr="00521A02">
        <w:rPr>
          <w:rFonts w:ascii="Bookman Old Style" w:eastAsia="Times New Roman" w:hAnsi="Bookman Old Style"/>
        </w:rPr>
        <w:t>omma 825, laddove si precisa che il canone è determinato in base alla superficie complessiva del mezzo pubblicitario esclusa quella relativa agli elementi privi di carattere pubblicitario. Ed inoltre che in caso di installazione, su un unico impianto pubblicitario, di una pluralità di segnali turistici o di territorio o di frecce direzionali, anche riferiti a soggetti e ad aziende diverse, la superficie assoggettabile al canone unico patrimoniale è quella dell’intero impianto oggetto della concessione o dell’autorizzazione. Nell'ipotesi in cui i titolari del provvedimento di concessione o di autorizzazione all’installazione dell’impianto siano diversi, il canone è liquidato distintamente, in proporzione alla superficie del segnale o del gruppo segnaletico posto nella disponibilità di ciascuno di essi. </w:t>
      </w:r>
    </w:p>
    <w:p w14:paraId="44BEEA43" w14:textId="77777777" w:rsidR="005E18A3" w:rsidRPr="00521A02" w:rsidRDefault="005E18A3" w:rsidP="00BF47D2">
      <w:pPr>
        <w:spacing w:after="80"/>
        <w:rPr>
          <w:rFonts w:ascii="Bookman Old Style" w:hAnsi="Bookman Old Style"/>
          <w:b/>
          <w:bCs/>
        </w:rPr>
      </w:pPr>
    </w:p>
    <w:p w14:paraId="57795078" w14:textId="4EB9C723" w:rsidR="00B13CD6" w:rsidRPr="00521A02" w:rsidRDefault="00B13CD6" w:rsidP="00BF47D2">
      <w:pPr>
        <w:pStyle w:val="Titolo2"/>
        <w:numPr>
          <w:ilvl w:val="0"/>
          <w:numId w:val="6"/>
        </w:numPr>
        <w:spacing w:before="0"/>
        <w:rPr>
          <w:rFonts w:ascii="Bookman Old Style" w:hAnsi="Bookman Old Style"/>
          <w:b/>
          <w:bCs/>
          <w:sz w:val="22"/>
          <w:szCs w:val="22"/>
        </w:rPr>
      </w:pPr>
      <w:bookmarkStart w:id="19" w:name="_Toc185516718"/>
      <w:bookmarkStart w:id="20" w:name="_Toc185605218"/>
      <w:r w:rsidRPr="00521A02">
        <w:rPr>
          <w:rFonts w:ascii="Bookman Old Style" w:hAnsi="Bookman Old Style"/>
          <w:b/>
          <w:bCs/>
          <w:sz w:val="22"/>
          <w:szCs w:val="22"/>
        </w:rPr>
        <w:t>Potenziamento riscossione degli enti locali (</w:t>
      </w:r>
      <w:r w:rsidR="00985B9E" w:rsidRPr="00521A02">
        <w:rPr>
          <w:rFonts w:ascii="Bookman Old Style" w:hAnsi="Bookman Old Style"/>
          <w:b/>
          <w:bCs/>
          <w:sz w:val="22"/>
          <w:szCs w:val="22"/>
        </w:rPr>
        <w:t xml:space="preserve">Art. 1, </w:t>
      </w:r>
      <w:r w:rsidRPr="00521A02">
        <w:rPr>
          <w:rFonts w:ascii="Bookman Old Style" w:hAnsi="Bookman Old Style"/>
          <w:b/>
          <w:bCs/>
          <w:sz w:val="22"/>
          <w:szCs w:val="22"/>
        </w:rPr>
        <w:t>comma 779)</w:t>
      </w:r>
      <w:bookmarkEnd w:id="19"/>
      <w:bookmarkEnd w:id="20"/>
      <w:r w:rsidRPr="00521A02">
        <w:rPr>
          <w:rFonts w:ascii="Bookman Old Style" w:hAnsi="Bookman Old Style"/>
          <w:b/>
          <w:bCs/>
          <w:sz w:val="22"/>
          <w:szCs w:val="22"/>
        </w:rPr>
        <w:t> </w:t>
      </w:r>
    </w:p>
    <w:p w14:paraId="54081532" w14:textId="77777777" w:rsidR="00662292" w:rsidRDefault="00B13CD6" w:rsidP="00BF47D2">
      <w:pPr>
        <w:autoSpaceDE w:val="0"/>
        <w:autoSpaceDN w:val="0"/>
        <w:spacing w:after="80"/>
        <w:jc w:val="both"/>
        <w:rPr>
          <w:rFonts w:ascii="Bookman Old Style" w:hAnsi="Bookman Old Style"/>
        </w:rPr>
      </w:pPr>
      <w:r w:rsidRPr="00521A02">
        <w:rPr>
          <w:rFonts w:ascii="Bookman Old Style" w:hAnsi="Bookman Old Style"/>
        </w:rPr>
        <w:t xml:space="preserve">La norma, approvata in </w:t>
      </w:r>
      <w:r w:rsidR="00CB29D9" w:rsidRPr="00521A02">
        <w:rPr>
          <w:rFonts w:ascii="Bookman Old Style" w:hAnsi="Bookman Old Style"/>
        </w:rPr>
        <w:t>C</w:t>
      </w:r>
      <w:r w:rsidRPr="00521A02">
        <w:rPr>
          <w:rFonts w:ascii="Bookman Old Style" w:hAnsi="Bookman Old Style"/>
        </w:rPr>
        <w:t xml:space="preserve">ommissione </w:t>
      </w:r>
      <w:r w:rsidR="00CB29D9" w:rsidRPr="00521A02">
        <w:rPr>
          <w:rFonts w:ascii="Bookman Old Style" w:hAnsi="Bookman Old Style"/>
        </w:rPr>
        <w:t>B</w:t>
      </w:r>
      <w:r w:rsidRPr="00521A02">
        <w:rPr>
          <w:rFonts w:ascii="Bookman Old Style" w:hAnsi="Bookman Old Style"/>
        </w:rPr>
        <w:t>ilancio Camera, introduce nella disciplina degli incentivi delle attività di recupero di entrate (art. 1, c</w:t>
      </w:r>
      <w:r w:rsidR="00CB29D9" w:rsidRPr="00521A02">
        <w:rPr>
          <w:rFonts w:ascii="Bookman Old Style" w:hAnsi="Bookman Old Style"/>
        </w:rPr>
        <w:t>.</w:t>
      </w:r>
      <w:r w:rsidRPr="00521A02">
        <w:rPr>
          <w:rFonts w:ascii="Bookman Old Style" w:hAnsi="Bookman Old Style"/>
        </w:rPr>
        <w:t xml:space="preserve"> 109</w:t>
      </w:r>
      <w:r w:rsidR="003B372E" w:rsidRPr="00521A02">
        <w:rPr>
          <w:rFonts w:ascii="Bookman Old Style" w:hAnsi="Bookman Old Style"/>
        </w:rPr>
        <w:t>1</w:t>
      </w:r>
      <w:r w:rsidRPr="00521A02">
        <w:rPr>
          <w:rFonts w:ascii="Bookman Old Style" w:hAnsi="Bookman Old Style"/>
        </w:rPr>
        <w:t xml:space="preserve">, </w:t>
      </w:r>
      <w:r w:rsidR="003B372E" w:rsidRPr="00521A02">
        <w:rPr>
          <w:rFonts w:ascii="Bookman Old Style" w:hAnsi="Bookman Old Style"/>
        </w:rPr>
        <w:t>L.</w:t>
      </w:r>
      <w:r w:rsidRPr="00521A02">
        <w:rPr>
          <w:rFonts w:ascii="Bookman Old Style" w:hAnsi="Bookman Old Style"/>
        </w:rPr>
        <w:t xml:space="preserve"> 145/2018), un’esplicita indicazione della nozione di “maggior gettito” derivanti dai recuperi, su cui Comuni devono verificare la congruità delle somme da utilizzare per l’incentivazione. </w:t>
      </w:r>
    </w:p>
    <w:p w14:paraId="10CE40D3" w14:textId="77777777" w:rsidR="001B6F60" w:rsidRDefault="00B13CD6" w:rsidP="00BF47D2">
      <w:pPr>
        <w:autoSpaceDE w:val="0"/>
        <w:autoSpaceDN w:val="0"/>
        <w:spacing w:after="80"/>
        <w:jc w:val="both"/>
        <w:rPr>
          <w:rFonts w:ascii="Bookman Old Style" w:hAnsi="Bookman Old Style"/>
        </w:rPr>
      </w:pPr>
      <w:r w:rsidRPr="00521A02">
        <w:rPr>
          <w:rFonts w:ascii="Bookman Old Style" w:hAnsi="Bookman Old Style"/>
        </w:rPr>
        <w:t xml:space="preserve">Si dispone che </w:t>
      </w:r>
      <w:r w:rsidRPr="00662292">
        <w:rPr>
          <w:rFonts w:ascii="Bookman Old Style" w:hAnsi="Bookman Old Style"/>
          <w:b/>
          <w:bCs/>
        </w:rPr>
        <w:t>per maggiore gettito accertato e riscosso si deve intendere l'ammontare complessivamente incassato a seguito dell'attività di recupero tributario</w:t>
      </w:r>
      <w:r w:rsidRPr="00521A02">
        <w:rPr>
          <w:rFonts w:ascii="Bookman Old Style" w:hAnsi="Bookman Old Style"/>
        </w:rPr>
        <w:t xml:space="preserve"> posta in essere dal Comune, nelle varie modalità in cui tale attività può realizzarsi, che genera un aumento di risorse disponibili nel bilancio comunale rispetto all'adempimento spontaneo del contribuente, cioè il versamento IMU e TARI effettuato dal contribuente alle scadenze di legge e regolamentari, non indotto da azioni dell'amministrazione comunale. </w:t>
      </w:r>
    </w:p>
    <w:p w14:paraId="6410F098" w14:textId="02EB1D43" w:rsidR="00B13CD6" w:rsidRPr="00521A02" w:rsidRDefault="00B13CD6" w:rsidP="00BF47D2">
      <w:pPr>
        <w:autoSpaceDE w:val="0"/>
        <w:autoSpaceDN w:val="0"/>
        <w:spacing w:after="80"/>
        <w:jc w:val="both"/>
        <w:rPr>
          <w:rFonts w:ascii="Bookman Old Style" w:hAnsi="Bookman Old Style"/>
        </w:rPr>
      </w:pPr>
      <w:r w:rsidRPr="00521A02">
        <w:rPr>
          <w:rFonts w:ascii="Bookman Old Style" w:hAnsi="Bookman Old Style"/>
        </w:rPr>
        <w:t xml:space="preserve">Ai fini del calcolo dell’incentivazione ammissibile </w:t>
      </w:r>
      <w:r w:rsidRPr="00481417">
        <w:rPr>
          <w:rFonts w:ascii="Bookman Old Style" w:hAnsi="Bookman Old Style"/>
          <w:b/>
          <w:bCs/>
        </w:rPr>
        <w:t>devono essere pertanto computate tutte le entrate effettivamente incassate nell'anno di riferimento, in conto competenza e in conto</w:t>
      </w:r>
      <w:r w:rsidRPr="00521A02">
        <w:rPr>
          <w:rFonts w:ascii="Bookman Old Style" w:hAnsi="Bookman Old Style"/>
        </w:rPr>
        <w:t xml:space="preserve"> </w:t>
      </w:r>
      <w:r w:rsidRPr="00A40957">
        <w:rPr>
          <w:rFonts w:ascii="Bookman Old Style" w:hAnsi="Bookman Old Style"/>
          <w:b/>
          <w:bCs/>
        </w:rPr>
        <w:t>residui</w:t>
      </w:r>
      <w:r w:rsidRPr="00521A02">
        <w:rPr>
          <w:rFonts w:ascii="Bookman Old Style" w:hAnsi="Bookman Old Style"/>
        </w:rPr>
        <w:t>, risultanti dal conto consuntivo approvato, che in assenza dell'attività di recupero tributario comunale non ci sarebbero state. Tale chiarimento ha la natura di interpretazione autentica del comma 109</w:t>
      </w:r>
      <w:r w:rsidR="003B372E" w:rsidRPr="00521A02">
        <w:rPr>
          <w:rFonts w:ascii="Bookman Old Style" w:hAnsi="Bookman Old Style"/>
        </w:rPr>
        <w:t>1</w:t>
      </w:r>
      <w:r w:rsidRPr="00521A02">
        <w:rPr>
          <w:rFonts w:ascii="Bookman Old Style" w:hAnsi="Bookman Old Style"/>
        </w:rPr>
        <w:t xml:space="preserve"> e permette di superare difformi interpretazioni di alcune sezioni regionali della Corte dei </w:t>
      </w:r>
      <w:r w:rsidR="003B372E" w:rsidRPr="00521A02">
        <w:rPr>
          <w:rFonts w:ascii="Bookman Old Style" w:hAnsi="Bookman Old Style"/>
        </w:rPr>
        <w:t>C</w:t>
      </w:r>
      <w:r w:rsidRPr="00521A02">
        <w:rPr>
          <w:rFonts w:ascii="Bookman Old Style" w:hAnsi="Bookman Old Style"/>
        </w:rPr>
        <w:t>onti. </w:t>
      </w:r>
    </w:p>
    <w:p w14:paraId="684845BC" w14:textId="6AA05E57" w:rsidR="00B13CD6" w:rsidRPr="00521A02" w:rsidRDefault="009C4E27" w:rsidP="00BF47D2">
      <w:pPr>
        <w:autoSpaceDE w:val="0"/>
        <w:autoSpaceDN w:val="0"/>
        <w:spacing w:after="80"/>
        <w:jc w:val="both"/>
        <w:rPr>
          <w:rFonts w:ascii="Bookman Old Style" w:hAnsi="Bookman Old Style"/>
        </w:rPr>
      </w:pPr>
      <w:r>
        <w:rPr>
          <w:rFonts w:ascii="Bookman Old Style" w:hAnsi="Bookman Old Style"/>
        </w:rPr>
        <w:t xml:space="preserve">Si ricorda che con la </w:t>
      </w:r>
      <w:r w:rsidR="00B13CD6" w:rsidRPr="00521A02">
        <w:rPr>
          <w:rFonts w:ascii="Bookman Old Style" w:hAnsi="Bookman Old Style"/>
        </w:rPr>
        <w:t>legge di bilancio 2019 (</w:t>
      </w:r>
      <w:hyperlink r:id="rId15" w:tgtFrame="_blank" w:history="1">
        <w:r w:rsidR="00B13CD6" w:rsidRPr="00521A02">
          <w:rPr>
            <w:rStyle w:val="Collegamentoipertestuale"/>
            <w:rFonts w:ascii="Bookman Old Style" w:hAnsi="Bookman Old Style"/>
          </w:rPr>
          <w:t>Legge n. 145/2018</w:t>
        </w:r>
      </w:hyperlink>
      <w:r w:rsidR="00B13CD6" w:rsidRPr="00521A02">
        <w:rPr>
          <w:rFonts w:ascii="Bookman Old Style" w:hAnsi="Bookman Old Style"/>
        </w:rPr>
        <w:t xml:space="preserve">), al comma 1091 dell’art.1, è </w:t>
      </w:r>
      <w:r>
        <w:rPr>
          <w:rFonts w:ascii="Bookman Old Style" w:hAnsi="Bookman Old Style"/>
        </w:rPr>
        <w:t xml:space="preserve">stata </w:t>
      </w:r>
      <w:r w:rsidR="00B13CD6" w:rsidRPr="00521A02">
        <w:rPr>
          <w:rFonts w:ascii="Bookman Old Style" w:hAnsi="Bookman Old Style"/>
        </w:rPr>
        <w:t>prevista la possibilità, per i Comuni che abbiano approvato nei termini il bilancio di previsione e il rendiconto, di </w:t>
      </w:r>
      <w:r w:rsidR="00B13CD6" w:rsidRPr="00521A02">
        <w:rPr>
          <w:rFonts w:ascii="Bookman Old Style" w:hAnsi="Bookman Old Style"/>
          <w:i/>
          <w:iCs/>
        </w:rPr>
        <w:t xml:space="preserve">“prevedere che il maggiore gettito accertato e riscosso, relativo agli accertamenti dell'imposta municipale propria e della TARI, nell'esercizio fiscale precedente a quello di riferimento risultante dal conto consuntivo approvato, nella misura massima del 5 per cento, sia destinato, limitatamente all'anno di riferimento, al potenziamento delle risorse strumentali degli uffici comunali preposti alla gestione delle entrate e al trattamento accessorio del personale dipendente, anche di qualifica dirigenziale, </w:t>
      </w:r>
      <w:r w:rsidR="00B13CD6" w:rsidRPr="00521A02">
        <w:rPr>
          <w:rFonts w:ascii="Bookman Old Style" w:hAnsi="Bookman Old Style"/>
          <w:i/>
          <w:iCs/>
        </w:rPr>
        <w:lastRenderedPageBreak/>
        <w:t>in deroga al limite di cui all'articolo 23, comma 2, del decreto legislativo 25 maggio 2017, n. 75”.</w:t>
      </w:r>
      <w:r w:rsidR="00B13CD6" w:rsidRPr="00521A02">
        <w:rPr>
          <w:rFonts w:ascii="Bookman Old Style" w:hAnsi="Bookman Old Style"/>
        </w:rPr>
        <w:t> </w:t>
      </w:r>
    </w:p>
    <w:p w14:paraId="37A81D22" w14:textId="354C2516" w:rsidR="00B13CD6" w:rsidRDefault="00B13CD6" w:rsidP="00BF47D2">
      <w:pPr>
        <w:autoSpaceDE w:val="0"/>
        <w:autoSpaceDN w:val="0"/>
        <w:spacing w:after="80"/>
        <w:jc w:val="both"/>
        <w:rPr>
          <w:rFonts w:ascii="Bookman Old Style" w:hAnsi="Bookman Old Style"/>
        </w:rPr>
      </w:pPr>
      <w:r w:rsidRPr="00521A02">
        <w:rPr>
          <w:rFonts w:ascii="Bookman Old Style" w:hAnsi="Bookman Old Style"/>
        </w:rPr>
        <w:t>La norma prevede pertanto un meccanismo che permette</w:t>
      </w:r>
      <w:r w:rsidRPr="00521A02">
        <w:rPr>
          <w:rFonts w:ascii="Bookman Old Style" w:hAnsi="Bookman Old Style"/>
          <w:b/>
          <w:bCs/>
        </w:rPr>
        <w:t> l’accantonamento </w:t>
      </w:r>
      <w:r w:rsidRPr="00521A02">
        <w:rPr>
          <w:rFonts w:ascii="Bookman Old Style" w:hAnsi="Bookman Old Style"/>
        </w:rPr>
        <w:t>di una </w:t>
      </w:r>
      <w:r w:rsidRPr="00521A02">
        <w:rPr>
          <w:rFonts w:ascii="Bookman Old Style" w:hAnsi="Bookman Old Style"/>
          <w:b/>
          <w:bCs/>
        </w:rPr>
        <w:t>quota del gettito tributario</w:t>
      </w:r>
      <w:r w:rsidRPr="00521A02">
        <w:rPr>
          <w:rFonts w:ascii="Bookman Old Style" w:hAnsi="Bookman Old Style"/>
        </w:rPr>
        <w:t> che potrà essere poi utilizzata per potenziare la gestione delle entrate.  Tale potenziamento può comprendere anche una ulteriore </w:t>
      </w:r>
      <w:r w:rsidRPr="00521A02">
        <w:rPr>
          <w:rFonts w:ascii="Bookman Old Style" w:hAnsi="Bookman Old Style"/>
          <w:b/>
          <w:bCs/>
        </w:rPr>
        <w:t>alimentazione del Fondo per gli incentivi al personale</w:t>
      </w:r>
      <w:r w:rsidRPr="00521A02">
        <w:rPr>
          <w:rFonts w:ascii="Bookman Old Style" w:hAnsi="Bookman Old Style"/>
        </w:rPr>
        <w:t> impegnato nel raggiungimento degli obiettivi delle entrate</w:t>
      </w:r>
      <w:r w:rsidR="001F46CA">
        <w:rPr>
          <w:rFonts w:ascii="Bookman Old Style" w:hAnsi="Bookman Old Style"/>
        </w:rPr>
        <w:t>, in deroga agli ordinari limiti del salario accessorio</w:t>
      </w:r>
      <w:r w:rsidRPr="00521A02">
        <w:rPr>
          <w:rFonts w:ascii="Bookman Old Style" w:hAnsi="Bookman Old Style"/>
        </w:rPr>
        <w:t>.  </w:t>
      </w:r>
    </w:p>
    <w:p w14:paraId="72424385" w14:textId="77777777" w:rsidR="00DF407C" w:rsidRPr="00521A02" w:rsidRDefault="00DF407C" w:rsidP="00BF47D2">
      <w:pPr>
        <w:autoSpaceDE w:val="0"/>
        <w:autoSpaceDN w:val="0"/>
        <w:spacing w:after="80"/>
        <w:jc w:val="both"/>
        <w:rPr>
          <w:rFonts w:ascii="Bookman Old Style" w:hAnsi="Bookman Old Style"/>
        </w:rPr>
      </w:pPr>
    </w:p>
    <w:p w14:paraId="52DED891" w14:textId="38D5D053" w:rsidR="00B469EC" w:rsidRPr="00521A02" w:rsidRDefault="00067C75" w:rsidP="00BF47D2">
      <w:pPr>
        <w:pStyle w:val="Titolo2"/>
        <w:numPr>
          <w:ilvl w:val="0"/>
          <w:numId w:val="9"/>
        </w:numPr>
        <w:spacing w:before="0"/>
        <w:ind w:left="714" w:hanging="357"/>
        <w:rPr>
          <w:rFonts w:ascii="Bookman Old Style" w:hAnsi="Bookman Old Style"/>
          <w:b/>
          <w:bCs/>
          <w:sz w:val="22"/>
          <w:szCs w:val="22"/>
        </w:rPr>
      </w:pPr>
      <w:bookmarkStart w:id="21" w:name="_Toc185605219"/>
      <w:r>
        <w:rPr>
          <w:rFonts w:ascii="Bookman Old Style" w:hAnsi="Bookman Old Style"/>
          <w:b/>
          <w:bCs/>
          <w:sz w:val="22"/>
          <w:szCs w:val="22"/>
        </w:rPr>
        <w:t xml:space="preserve">Incremento </w:t>
      </w:r>
      <w:r w:rsidR="00F00C3D">
        <w:rPr>
          <w:rFonts w:ascii="Bookman Old Style" w:hAnsi="Bookman Old Style"/>
          <w:b/>
          <w:bCs/>
          <w:sz w:val="22"/>
          <w:szCs w:val="22"/>
        </w:rPr>
        <w:t xml:space="preserve">contributo riservato ai </w:t>
      </w:r>
      <w:r w:rsidR="00411E21" w:rsidRPr="00521A02">
        <w:rPr>
          <w:rFonts w:ascii="Bookman Old Style" w:hAnsi="Bookman Old Style"/>
          <w:b/>
          <w:bCs/>
          <w:sz w:val="22"/>
          <w:szCs w:val="22"/>
        </w:rPr>
        <w:t xml:space="preserve">Comuni per </w:t>
      </w:r>
      <w:r w:rsidR="00F00C3D">
        <w:rPr>
          <w:rFonts w:ascii="Bookman Old Style" w:hAnsi="Bookman Old Style"/>
          <w:b/>
          <w:bCs/>
          <w:sz w:val="22"/>
          <w:szCs w:val="22"/>
        </w:rPr>
        <w:t xml:space="preserve">richiesta di </w:t>
      </w:r>
      <w:r w:rsidR="00B469EC" w:rsidRPr="00521A02">
        <w:rPr>
          <w:rFonts w:ascii="Bookman Old Style" w:hAnsi="Bookman Old Style"/>
          <w:b/>
          <w:bCs/>
          <w:sz w:val="22"/>
          <w:szCs w:val="22"/>
        </w:rPr>
        <w:t>riconoscimento della cittadinanza italiana (Art.</w:t>
      </w:r>
      <w:r w:rsidR="00DC569D" w:rsidRPr="00521A02">
        <w:rPr>
          <w:rFonts w:ascii="Bookman Old Style" w:hAnsi="Bookman Old Style"/>
          <w:b/>
          <w:bCs/>
          <w:sz w:val="22"/>
          <w:szCs w:val="22"/>
        </w:rPr>
        <w:t>1, commi</w:t>
      </w:r>
      <w:r w:rsidR="00F3794D" w:rsidRPr="00521A02">
        <w:rPr>
          <w:rFonts w:ascii="Bookman Old Style" w:hAnsi="Bookman Old Style"/>
          <w:b/>
          <w:bCs/>
          <w:sz w:val="22"/>
          <w:szCs w:val="22"/>
        </w:rPr>
        <w:t xml:space="preserve"> 636-641</w:t>
      </w:r>
      <w:r w:rsidR="00B469EC" w:rsidRPr="00521A02">
        <w:rPr>
          <w:rFonts w:ascii="Bookman Old Style" w:hAnsi="Bookman Old Style"/>
          <w:b/>
          <w:bCs/>
          <w:sz w:val="22"/>
          <w:szCs w:val="22"/>
        </w:rPr>
        <w:t>)</w:t>
      </w:r>
      <w:bookmarkEnd w:id="21"/>
    </w:p>
    <w:p w14:paraId="5893648E" w14:textId="40CFD530" w:rsidR="00B469EC" w:rsidRPr="00521A02" w:rsidRDefault="00B469EC" w:rsidP="00BF47D2">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 xml:space="preserve">La norma, approvata in </w:t>
      </w:r>
      <w:r w:rsidR="00867805" w:rsidRPr="00521A02">
        <w:rPr>
          <w:rFonts w:ascii="Bookman Old Style" w:hAnsi="Bookman Old Style" w:cs="CIDFont+F2"/>
          <w:kern w:val="0"/>
        </w:rPr>
        <w:t>C</w:t>
      </w:r>
      <w:r w:rsidRPr="00521A02">
        <w:rPr>
          <w:rFonts w:ascii="Bookman Old Style" w:hAnsi="Bookman Old Style" w:cs="CIDFont+F2"/>
          <w:kern w:val="0"/>
        </w:rPr>
        <w:t xml:space="preserve">ommissione </w:t>
      </w:r>
      <w:r w:rsidR="00DE10D0" w:rsidRPr="00521A02">
        <w:rPr>
          <w:rFonts w:ascii="Bookman Old Style" w:hAnsi="Bookman Old Style" w:cs="CIDFont+F2"/>
          <w:kern w:val="0"/>
        </w:rPr>
        <w:t>B</w:t>
      </w:r>
      <w:r w:rsidRPr="00521A02">
        <w:rPr>
          <w:rFonts w:ascii="Bookman Old Style" w:hAnsi="Bookman Old Style" w:cs="CIDFont+F2"/>
          <w:kern w:val="0"/>
        </w:rPr>
        <w:t xml:space="preserve">ilancio Camera, introduce disposizioni in materia di riscossione di contributi per il riconoscimento della cittadinanza italiana </w:t>
      </w:r>
      <w:r w:rsidRPr="00521A02">
        <w:rPr>
          <w:rFonts w:ascii="Bookman Old Style" w:hAnsi="Bookman Old Style" w:cs="CIDFont+F2"/>
          <w:i/>
          <w:iCs/>
          <w:kern w:val="0"/>
        </w:rPr>
        <w:t>iure sanguinis</w:t>
      </w:r>
      <w:r w:rsidRPr="00521A02">
        <w:rPr>
          <w:rFonts w:ascii="Bookman Old Style" w:hAnsi="Bookman Old Style" w:cs="CIDFont+F2"/>
          <w:kern w:val="0"/>
        </w:rPr>
        <w:t xml:space="preserve">. In particolare, prevede che i Comuni possano </w:t>
      </w:r>
      <w:r w:rsidR="00284765" w:rsidRPr="00521A02">
        <w:rPr>
          <w:rFonts w:ascii="Bookman Old Style" w:hAnsi="Bookman Old Style" w:cs="CIDFont+F2"/>
          <w:kern w:val="0"/>
        </w:rPr>
        <w:t xml:space="preserve">incrementare il </w:t>
      </w:r>
      <w:r w:rsidRPr="00521A02">
        <w:rPr>
          <w:rFonts w:ascii="Bookman Old Style" w:hAnsi="Bookman Old Style" w:cs="CIDFont+F2"/>
          <w:kern w:val="0"/>
        </w:rPr>
        <w:t xml:space="preserve">contributo amministrativo </w:t>
      </w:r>
      <w:r w:rsidR="00284765" w:rsidRPr="00521A02">
        <w:rPr>
          <w:rFonts w:ascii="Bookman Old Style" w:hAnsi="Bookman Old Style" w:cs="CIDFont+F2"/>
          <w:kern w:val="0"/>
        </w:rPr>
        <w:t xml:space="preserve">richiesto per il riconoscimento della cittadinanza italiana fino all’importo di </w:t>
      </w:r>
      <w:r w:rsidRPr="00521A02">
        <w:rPr>
          <w:rFonts w:ascii="Bookman Old Style" w:hAnsi="Bookman Old Style" w:cs="CIDFont+F2"/>
          <w:kern w:val="0"/>
        </w:rPr>
        <w:t xml:space="preserve">600 euro per ciascun richiedente maggiorenne. </w:t>
      </w:r>
    </w:p>
    <w:p w14:paraId="29856E15" w14:textId="77777777" w:rsidR="00B469EC" w:rsidRPr="00521A02" w:rsidRDefault="00B469EC" w:rsidP="00BF47D2">
      <w:pPr>
        <w:autoSpaceDE w:val="0"/>
        <w:autoSpaceDN w:val="0"/>
        <w:adjustRightInd w:val="0"/>
        <w:spacing w:after="80"/>
        <w:jc w:val="both"/>
        <w:rPr>
          <w:rFonts w:ascii="Bookman Old Style" w:hAnsi="Bookman Old Style" w:cs="CIDFont+F2"/>
          <w:kern w:val="0"/>
        </w:rPr>
      </w:pPr>
    </w:p>
    <w:p w14:paraId="7EDCF4F1" w14:textId="0FC89B48" w:rsidR="00B469EC" w:rsidRPr="00521A02" w:rsidRDefault="00B469EC" w:rsidP="00BF47D2">
      <w:pPr>
        <w:pStyle w:val="Titolo2"/>
        <w:numPr>
          <w:ilvl w:val="0"/>
          <w:numId w:val="9"/>
        </w:numPr>
        <w:spacing w:before="0"/>
        <w:rPr>
          <w:rFonts w:ascii="Bookman Old Style" w:hAnsi="Bookman Old Style"/>
          <w:b/>
          <w:bCs/>
          <w:sz w:val="22"/>
          <w:szCs w:val="22"/>
        </w:rPr>
      </w:pPr>
      <w:bookmarkStart w:id="22" w:name="_Toc185245952"/>
      <w:bookmarkStart w:id="23" w:name="_Toc185605220"/>
      <w:r w:rsidRPr="00521A02">
        <w:rPr>
          <w:rFonts w:ascii="Bookman Old Style" w:hAnsi="Bookman Old Style"/>
          <w:b/>
          <w:bCs/>
          <w:sz w:val="22"/>
          <w:szCs w:val="22"/>
        </w:rPr>
        <w:t>Addizionale comunale diritti di imbarco</w:t>
      </w:r>
      <w:bookmarkEnd w:id="22"/>
      <w:r w:rsidRPr="00521A02">
        <w:rPr>
          <w:rFonts w:ascii="Bookman Old Style" w:hAnsi="Bookman Old Style"/>
          <w:b/>
          <w:bCs/>
          <w:sz w:val="22"/>
          <w:szCs w:val="22"/>
        </w:rPr>
        <w:t xml:space="preserve"> (</w:t>
      </w:r>
      <w:r w:rsidR="00FC524F" w:rsidRPr="00521A02">
        <w:rPr>
          <w:rFonts w:ascii="Bookman Old Style" w:hAnsi="Bookman Old Style"/>
          <w:b/>
          <w:bCs/>
          <w:sz w:val="22"/>
          <w:szCs w:val="22"/>
        </w:rPr>
        <w:t>A</w:t>
      </w:r>
      <w:r w:rsidRPr="00521A02">
        <w:rPr>
          <w:rFonts w:ascii="Bookman Old Style" w:hAnsi="Bookman Old Style"/>
          <w:b/>
          <w:bCs/>
          <w:sz w:val="22"/>
          <w:szCs w:val="22"/>
        </w:rPr>
        <w:t xml:space="preserve">rt. </w:t>
      </w:r>
      <w:r w:rsidR="00D01AA1" w:rsidRPr="00521A02">
        <w:rPr>
          <w:rFonts w:ascii="Bookman Old Style" w:hAnsi="Bookman Old Style"/>
          <w:b/>
          <w:bCs/>
          <w:sz w:val="22"/>
          <w:szCs w:val="22"/>
        </w:rPr>
        <w:t>1, commi 744-745</w:t>
      </w:r>
      <w:r w:rsidRPr="00521A02">
        <w:rPr>
          <w:rFonts w:ascii="Bookman Old Style" w:hAnsi="Bookman Old Style"/>
          <w:b/>
          <w:bCs/>
          <w:sz w:val="22"/>
          <w:szCs w:val="22"/>
        </w:rPr>
        <w:t>)</w:t>
      </w:r>
      <w:bookmarkEnd w:id="23"/>
    </w:p>
    <w:p w14:paraId="4B187578" w14:textId="2A5986FE" w:rsidR="00B469EC" w:rsidRPr="00A40957" w:rsidRDefault="00B469EC" w:rsidP="00BF47D2">
      <w:pPr>
        <w:spacing w:after="80"/>
        <w:jc w:val="both"/>
        <w:rPr>
          <w:rFonts w:ascii="Bookman Old Style" w:hAnsi="Bookman Old Style"/>
          <w:b/>
          <w:bCs/>
        </w:rPr>
      </w:pPr>
      <w:r w:rsidRPr="00521A02">
        <w:rPr>
          <w:rFonts w:ascii="Bookman Old Style" w:hAnsi="Bookman Old Style"/>
        </w:rPr>
        <w:t xml:space="preserve">La norma, proposta dal Governo e approvata in </w:t>
      </w:r>
      <w:r w:rsidR="00867805" w:rsidRPr="00521A02">
        <w:rPr>
          <w:rFonts w:ascii="Bookman Old Style" w:hAnsi="Bookman Old Style"/>
        </w:rPr>
        <w:t>C</w:t>
      </w:r>
      <w:r w:rsidRPr="00521A02">
        <w:rPr>
          <w:rFonts w:ascii="Bookman Old Style" w:hAnsi="Bookman Old Style"/>
        </w:rPr>
        <w:t xml:space="preserve">ommissione </w:t>
      </w:r>
      <w:r w:rsidR="00284765" w:rsidRPr="00521A02">
        <w:rPr>
          <w:rFonts w:ascii="Bookman Old Style" w:hAnsi="Bookman Old Style"/>
        </w:rPr>
        <w:t>B</w:t>
      </w:r>
      <w:r w:rsidRPr="00521A02">
        <w:rPr>
          <w:rFonts w:ascii="Bookman Old Style" w:hAnsi="Bookman Old Style"/>
        </w:rPr>
        <w:t xml:space="preserve">ilancio Camera, prevede che, a decorrere dal 1° aprile 2025, l'addizionale comunale sui diritti d'imbarco di passeggeri sia incrementata di 0,50 centesimi di euro </w:t>
      </w:r>
      <w:r w:rsidRPr="00A40957">
        <w:rPr>
          <w:rFonts w:ascii="Bookman Old Style" w:hAnsi="Bookman Old Style"/>
          <w:b/>
          <w:bCs/>
        </w:rPr>
        <w:t>per passeggero imbarcato su voli verso destinazioni extra-Ue</w:t>
      </w:r>
      <w:r w:rsidRPr="00521A02">
        <w:rPr>
          <w:rFonts w:ascii="Bookman Old Style" w:hAnsi="Bookman Old Style"/>
        </w:rPr>
        <w:t>. L'incremento è destinato al Comune o ai Comuni nel cui territorio è situato il sedime aeroportuale</w:t>
      </w:r>
      <w:r w:rsidR="00284765" w:rsidRPr="00521A02">
        <w:rPr>
          <w:rFonts w:ascii="Bookman Old Style" w:hAnsi="Bookman Old Style"/>
        </w:rPr>
        <w:t xml:space="preserve">, limitatamente agli aeroporti </w:t>
      </w:r>
      <w:r w:rsidRPr="00521A02">
        <w:rPr>
          <w:rFonts w:ascii="Bookman Old Style" w:hAnsi="Bookman Old Style"/>
        </w:rPr>
        <w:t xml:space="preserve">con volumi di traffico pari o superiori ai 10 milioni di passeggeri annui, con riferimento all'anno solare precedente. Nel caso </w:t>
      </w:r>
      <w:r w:rsidR="00284765" w:rsidRPr="00521A02">
        <w:rPr>
          <w:rFonts w:ascii="Bookman Old Style" w:hAnsi="Bookman Old Style"/>
        </w:rPr>
        <w:t xml:space="preserve">di Comuni beneficiari </w:t>
      </w:r>
      <w:r w:rsidRPr="00521A02">
        <w:rPr>
          <w:rFonts w:ascii="Bookman Old Style" w:hAnsi="Bookman Old Style"/>
        </w:rPr>
        <w:t>con popolazione inferiore a 15.000 abitanti</w:t>
      </w:r>
      <w:r w:rsidR="00284765" w:rsidRPr="00521A02">
        <w:rPr>
          <w:rFonts w:ascii="Bookman Old Style" w:hAnsi="Bookman Old Style"/>
        </w:rPr>
        <w:t>,</w:t>
      </w:r>
      <w:r w:rsidRPr="00521A02">
        <w:rPr>
          <w:rFonts w:ascii="Bookman Old Style" w:hAnsi="Bookman Old Style"/>
        </w:rPr>
        <w:t xml:space="preserve"> il relativo gettito è versato alla Provincia o alla Città metropolitana</w:t>
      </w:r>
      <w:r w:rsidR="00284765" w:rsidRPr="00521A02">
        <w:rPr>
          <w:rFonts w:ascii="Bookman Old Style" w:hAnsi="Bookman Old Style"/>
        </w:rPr>
        <w:t xml:space="preserve"> di pertinenza</w:t>
      </w:r>
      <w:r w:rsidRPr="00521A02">
        <w:rPr>
          <w:rFonts w:ascii="Bookman Old Style" w:hAnsi="Bookman Old Style"/>
        </w:rPr>
        <w:t>. Nel caso in cui lo scalo aeroportuale insista sul territorio di più Comuni, le somme derivanti dall'incremento dell'addizionale comunale sono ripartite tra i medesimi Comuni sulla base della percentuale di superficie di territorio comunale inglobata nel perimetro aeroportuale sul totale del sedime, sulla scorta dei dati catastali.</w:t>
      </w:r>
      <w:r w:rsidR="0083623B" w:rsidRPr="00521A02">
        <w:rPr>
          <w:rFonts w:ascii="Bookman Old Style" w:hAnsi="Bookman Old Style"/>
        </w:rPr>
        <w:t xml:space="preserve"> </w:t>
      </w:r>
      <w:r w:rsidRPr="00A40957">
        <w:rPr>
          <w:rFonts w:ascii="Bookman Old Style" w:hAnsi="Bookman Old Style"/>
          <w:b/>
          <w:bCs/>
        </w:rPr>
        <w:t>Con decreto del MIT di concerto con il Ministero dell'interno e del Ministero dell'economia e delle finanze, sentita la Conferenza stato città, da emanare entro il 15 marzo 2025, sono stabilite le modalità di attuazione della norma</w:t>
      </w:r>
      <w:r w:rsidR="00284765" w:rsidRPr="00A40957">
        <w:rPr>
          <w:rFonts w:ascii="Bookman Old Style" w:hAnsi="Bookman Old Style"/>
          <w:b/>
          <w:bCs/>
        </w:rPr>
        <w:t>.</w:t>
      </w:r>
      <w:r w:rsidRPr="00A40957">
        <w:rPr>
          <w:rFonts w:ascii="Bookman Old Style" w:hAnsi="Bookman Old Style"/>
          <w:b/>
          <w:bCs/>
        </w:rPr>
        <w:t xml:space="preserve"> </w:t>
      </w:r>
    </w:p>
    <w:p w14:paraId="65D6EE98" w14:textId="77777777" w:rsidR="00FB69AC" w:rsidRDefault="00FB69AC">
      <w:pPr>
        <w:rPr>
          <w:rFonts w:ascii="Bookman Old Style" w:eastAsiaTheme="majorEastAsia" w:hAnsi="Bookman Old Style" w:cstheme="majorBidi"/>
          <w:b/>
          <w:bCs/>
          <w:color w:val="0F4761" w:themeColor="accent1" w:themeShade="BF"/>
        </w:rPr>
      </w:pPr>
      <w:r>
        <w:rPr>
          <w:rFonts w:ascii="Bookman Old Style" w:hAnsi="Bookman Old Style"/>
          <w:b/>
          <w:bCs/>
        </w:rPr>
        <w:br w:type="page"/>
      </w:r>
    </w:p>
    <w:p w14:paraId="20C034FF" w14:textId="0184FC7D" w:rsidR="00D000D1" w:rsidRPr="00521A02" w:rsidRDefault="00D000D1" w:rsidP="005674E5">
      <w:pPr>
        <w:pStyle w:val="Titolo1"/>
        <w:spacing w:after="240"/>
        <w:rPr>
          <w:rFonts w:ascii="Bookman Old Style" w:hAnsi="Bookman Old Style"/>
          <w:b/>
          <w:bCs/>
          <w:sz w:val="22"/>
          <w:szCs w:val="22"/>
        </w:rPr>
      </w:pPr>
      <w:bookmarkStart w:id="24" w:name="_Toc185605221"/>
      <w:r w:rsidRPr="00521A02">
        <w:rPr>
          <w:rFonts w:ascii="Bookman Old Style" w:hAnsi="Bookman Old Style"/>
          <w:b/>
          <w:bCs/>
          <w:sz w:val="22"/>
          <w:szCs w:val="22"/>
        </w:rPr>
        <w:lastRenderedPageBreak/>
        <w:t>PICCOLI COMUNI</w:t>
      </w:r>
      <w:bookmarkEnd w:id="24"/>
    </w:p>
    <w:p w14:paraId="08BDD04A" w14:textId="5427CFEC" w:rsidR="00D000D1" w:rsidRPr="00521A02" w:rsidRDefault="00D000D1" w:rsidP="00BF47D2">
      <w:pPr>
        <w:pStyle w:val="Titolo2"/>
        <w:numPr>
          <w:ilvl w:val="0"/>
          <w:numId w:val="10"/>
        </w:numPr>
        <w:spacing w:before="0"/>
        <w:jc w:val="both"/>
        <w:rPr>
          <w:rFonts w:ascii="Bookman Old Style" w:hAnsi="Bookman Old Style"/>
          <w:b/>
          <w:bCs/>
          <w:sz w:val="22"/>
          <w:szCs w:val="22"/>
        </w:rPr>
      </w:pPr>
      <w:bookmarkStart w:id="25" w:name="_Toc185605222"/>
      <w:r w:rsidRPr="00521A02">
        <w:rPr>
          <w:rFonts w:ascii="Bookman Old Style" w:hAnsi="Bookman Old Style"/>
          <w:b/>
          <w:bCs/>
          <w:sz w:val="22"/>
          <w:szCs w:val="22"/>
        </w:rPr>
        <w:t>Sostegno economico Comuni in dissesto sotto ai 1000 abitanti (Art. 1</w:t>
      </w:r>
      <w:r w:rsidR="00D940BA" w:rsidRPr="00521A02">
        <w:rPr>
          <w:rFonts w:ascii="Bookman Old Style" w:hAnsi="Bookman Old Style"/>
          <w:b/>
          <w:bCs/>
          <w:sz w:val="22"/>
          <w:szCs w:val="22"/>
        </w:rPr>
        <w:t xml:space="preserve">, commi </w:t>
      </w:r>
      <w:r w:rsidR="005165D9" w:rsidRPr="00521A02">
        <w:rPr>
          <w:rFonts w:ascii="Bookman Old Style" w:hAnsi="Bookman Old Style"/>
          <w:b/>
          <w:bCs/>
          <w:sz w:val="22"/>
          <w:szCs w:val="22"/>
        </w:rPr>
        <w:t>775-778</w:t>
      </w:r>
      <w:r w:rsidRPr="00521A02">
        <w:rPr>
          <w:rFonts w:ascii="Bookman Old Style" w:hAnsi="Bookman Old Style"/>
          <w:b/>
          <w:bCs/>
          <w:sz w:val="22"/>
          <w:szCs w:val="22"/>
        </w:rPr>
        <w:t>)</w:t>
      </w:r>
      <w:bookmarkEnd w:id="25"/>
    </w:p>
    <w:p w14:paraId="77C42F9D" w14:textId="596B3FCC" w:rsidR="00336D8F" w:rsidRPr="00521A02" w:rsidRDefault="00D000D1" w:rsidP="00BF47D2">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La norma</w:t>
      </w:r>
      <w:r w:rsidR="0069789F" w:rsidRPr="00521A02">
        <w:rPr>
          <w:rFonts w:ascii="Bookman Old Style" w:hAnsi="Bookman Old Style" w:cs="CIDFont+F2"/>
          <w:kern w:val="0"/>
        </w:rPr>
        <w:t xml:space="preserve">, approvata in </w:t>
      </w:r>
      <w:r w:rsidR="00867805" w:rsidRPr="00521A02">
        <w:rPr>
          <w:rFonts w:ascii="Bookman Old Style" w:hAnsi="Bookman Old Style" w:cs="CIDFont+F2"/>
          <w:kern w:val="0"/>
        </w:rPr>
        <w:t>C</w:t>
      </w:r>
      <w:r w:rsidR="0069789F" w:rsidRPr="00521A02">
        <w:rPr>
          <w:rFonts w:ascii="Bookman Old Style" w:hAnsi="Bookman Old Style" w:cs="CIDFont+F2"/>
          <w:kern w:val="0"/>
        </w:rPr>
        <w:t xml:space="preserve">ommissione </w:t>
      </w:r>
      <w:r w:rsidR="00DE10D0" w:rsidRPr="00521A02">
        <w:rPr>
          <w:rFonts w:ascii="Bookman Old Style" w:hAnsi="Bookman Old Style" w:cs="CIDFont+F2"/>
          <w:kern w:val="0"/>
        </w:rPr>
        <w:t>B</w:t>
      </w:r>
      <w:r w:rsidR="0069789F" w:rsidRPr="00521A02">
        <w:rPr>
          <w:rFonts w:ascii="Bookman Old Style" w:hAnsi="Bookman Old Style" w:cs="CIDFont+F2"/>
          <w:kern w:val="0"/>
        </w:rPr>
        <w:t>ilancio</w:t>
      </w:r>
      <w:r w:rsidR="002179CC" w:rsidRPr="00521A02">
        <w:rPr>
          <w:rFonts w:ascii="Bookman Old Style" w:hAnsi="Bookman Old Style" w:cs="CIDFont+F2"/>
          <w:kern w:val="0"/>
        </w:rPr>
        <w:t xml:space="preserve"> Camera,</w:t>
      </w:r>
      <w:r w:rsidR="0069789F" w:rsidRPr="00521A02">
        <w:rPr>
          <w:rFonts w:ascii="Bookman Old Style" w:hAnsi="Bookman Old Style" w:cs="CIDFont+F2"/>
          <w:kern w:val="0"/>
        </w:rPr>
        <w:t xml:space="preserve"> </w:t>
      </w:r>
      <w:r w:rsidRPr="00521A02">
        <w:rPr>
          <w:rFonts w:ascii="Bookman Old Style" w:hAnsi="Bookman Old Style" w:cs="CIDFont+F2"/>
          <w:kern w:val="0"/>
        </w:rPr>
        <w:t xml:space="preserve">prevede che </w:t>
      </w:r>
      <w:r w:rsidRPr="00A40957">
        <w:rPr>
          <w:rFonts w:ascii="Bookman Old Style" w:hAnsi="Bookman Old Style" w:cs="CIDFont+F2"/>
          <w:b/>
          <w:bCs/>
          <w:kern w:val="0"/>
        </w:rPr>
        <w:t>ai Comuni con popolazione inferiore a 1.000 abitanti</w:t>
      </w:r>
      <w:r w:rsidR="00D10CAF" w:rsidRPr="00521A02">
        <w:rPr>
          <w:rFonts w:ascii="Bookman Old Style" w:hAnsi="Bookman Old Style" w:cs="CIDFont+F2"/>
          <w:kern w:val="0"/>
        </w:rPr>
        <w:t xml:space="preserve">, </w:t>
      </w:r>
      <w:r w:rsidR="00336D8F" w:rsidRPr="00521A02">
        <w:rPr>
          <w:rFonts w:ascii="Bookman Old Style" w:hAnsi="Bookman Old Style" w:cs="CIDFont+F2"/>
          <w:kern w:val="0"/>
        </w:rPr>
        <w:t>è</w:t>
      </w:r>
      <w:r w:rsidR="00D10CAF" w:rsidRPr="00521A02">
        <w:rPr>
          <w:rFonts w:ascii="Bookman Old Style" w:hAnsi="Bookman Old Style" w:cs="CIDFont+F2"/>
          <w:kern w:val="0"/>
        </w:rPr>
        <w:t xml:space="preserve"> attribuita un'anticipazione fino all'importo massimo annuo di 25 milioni di euro per gli anni 2025 e 2026, da destinare all'incremento della massa attiva della gestione liquidatoria per il pagamento dei debiti ammessi. </w:t>
      </w:r>
    </w:p>
    <w:p w14:paraId="49D6F1A1" w14:textId="77777777" w:rsidR="00A80B11" w:rsidRPr="00521A02" w:rsidRDefault="00336D8F" w:rsidP="00BF47D2">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 xml:space="preserve">La norma è destinata </w:t>
      </w:r>
      <w:r w:rsidR="00A80B11" w:rsidRPr="00521A02">
        <w:rPr>
          <w:rFonts w:ascii="Bookman Old Style" w:hAnsi="Bookman Old Style" w:cs="CIDFont+F2"/>
          <w:kern w:val="0"/>
        </w:rPr>
        <w:t xml:space="preserve">agli enti </w:t>
      </w:r>
      <w:r w:rsidR="00D000D1" w:rsidRPr="00521A02">
        <w:rPr>
          <w:rFonts w:ascii="Bookman Old Style" w:hAnsi="Bookman Old Style" w:cs="CIDFont+F2"/>
          <w:kern w:val="0"/>
        </w:rPr>
        <w:t>che hanno deliberato il dissesto finanziario a far data dal 1° gennaio 2017 e aderito alla procedura semplificata, per i quali l'Organo straordinario di liquidazione, alla data di entrata in vigore del provvedimento, non ha ancora approvato il rendiconto della gestione.</w:t>
      </w:r>
    </w:p>
    <w:p w14:paraId="2C5D059F" w14:textId="43088E52" w:rsidR="00D000D1" w:rsidRPr="00521A02" w:rsidRDefault="00A80B11" w:rsidP="00BF47D2">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L’an</w:t>
      </w:r>
      <w:r w:rsidR="00D000D1" w:rsidRPr="00521A02">
        <w:rPr>
          <w:rFonts w:ascii="Bookman Old Style" w:hAnsi="Bookman Old Style" w:cs="CIDFont+F2"/>
          <w:kern w:val="0"/>
        </w:rPr>
        <w:t>ticipazione è ripartita, nei limiti della massa passiva censita, in base ad una quota pro capite determinata tenendo conto della popolazione residente, calcolata alla fine del penultimo anno precedente alla dichiarazione di dissesto, mentre l'importo attribuito è erogato all'ente locale, che è tenuto a metterlo a disposizione</w:t>
      </w:r>
      <w:r w:rsidRPr="00521A02">
        <w:rPr>
          <w:rFonts w:ascii="Bookman Old Style" w:hAnsi="Bookman Old Style" w:cs="CIDFont+F2"/>
          <w:kern w:val="0"/>
        </w:rPr>
        <w:t xml:space="preserve"> </w:t>
      </w:r>
      <w:r w:rsidR="00D000D1" w:rsidRPr="00521A02">
        <w:rPr>
          <w:rFonts w:ascii="Bookman Old Style" w:hAnsi="Bookman Old Style" w:cs="CIDFont+F2"/>
          <w:kern w:val="0"/>
        </w:rPr>
        <w:t>dell'Organo straordinario di liquidazione entro trenta giorni. L'organo straordinario di liquidazione provvede al pagamento dei debiti ammessi, nei limiti dell'anticipazione erogata, entro novanta giorni dalla disponibilità delle risorse.</w:t>
      </w:r>
    </w:p>
    <w:p w14:paraId="07AD7E4E" w14:textId="3A48BA74" w:rsidR="00D000D1" w:rsidRDefault="002179CC" w:rsidP="00BF47D2">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La norma p</w:t>
      </w:r>
      <w:r w:rsidR="00D000D1" w:rsidRPr="00521A02">
        <w:rPr>
          <w:rFonts w:ascii="Bookman Old Style" w:hAnsi="Bookman Old Style" w:cs="CIDFont+F2"/>
          <w:kern w:val="0"/>
        </w:rPr>
        <w:t xml:space="preserve">revede inoltre che la restituzione dell'anticipazione è effettuata, con piano di ammortamento a rate costanti, comprensive degli interessi, in un periodo massimo di dieci anni a decorrere dall'anno successivo a quello </w:t>
      </w:r>
      <w:r w:rsidR="00284765" w:rsidRPr="00521A02">
        <w:rPr>
          <w:rFonts w:ascii="Bookman Old Style" w:hAnsi="Bookman Old Style" w:cs="CIDFont+F2"/>
          <w:kern w:val="0"/>
        </w:rPr>
        <w:t>di erogazione</w:t>
      </w:r>
      <w:r w:rsidR="00D000D1" w:rsidRPr="00521A02">
        <w:rPr>
          <w:rFonts w:ascii="Bookman Old Style" w:hAnsi="Bookman Old Style" w:cs="CIDFont+F2"/>
          <w:kern w:val="0"/>
        </w:rPr>
        <w:t>, mediante operazione di giro fondi sull'apposita contabilità speciale intestata al Ministero dell'interno. Il tasso di interesse da applicare alle suddette anticipazioni sarà determinato sulla base del rendimento di mercato dei Buoni poliennali del tesoro a cinque anni in corso di emissione con comunicato del Direttore generale del tesoro da pubblicare nel sito internet del Ministero dell'economia e delle finanze. Infine, in caso di mancata restituzione delle rate entro i termini previsti, le somme sono recuperate a valere sulle risorse a qualunque titolo dovute dal Ministero dell'interno, con relativo versamento sulla contabilità speciale.</w:t>
      </w:r>
    </w:p>
    <w:p w14:paraId="7C1A557F" w14:textId="77777777" w:rsidR="00FB69AC" w:rsidRPr="00521A02" w:rsidRDefault="00FB69AC" w:rsidP="00BF47D2">
      <w:pPr>
        <w:autoSpaceDE w:val="0"/>
        <w:autoSpaceDN w:val="0"/>
        <w:adjustRightInd w:val="0"/>
        <w:spacing w:after="80"/>
        <w:jc w:val="both"/>
        <w:rPr>
          <w:rFonts w:ascii="Bookman Old Style" w:hAnsi="Bookman Old Style"/>
        </w:rPr>
      </w:pPr>
    </w:p>
    <w:p w14:paraId="1149D714" w14:textId="6DF93C60" w:rsidR="00AE7348" w:rsidRPr="00521A02" w:rsidRDefault="00AE7348" w:rsidP="00BF47D2">
      <w:pPr>
        <w:pStyle w:val="Titolo2"/>
        <w:numPr>
          <w:ilvl w:val="0"/>
          <w:numId w:val="11"/>
        </w:numPr>
        <w:spacing w:before="0"/>
        <w:jc w:val="both"/>
        <w:rPr>
          <w:rFonts w:ascii="Bookman Old Style" w:hAnsi="Bookman Old Style"/>
          <w:b/>
          <w:bCs/>
          <w:sz w:val="22"/>
          <w:szCs w:val="22"/>
        </w:rPr>
      </w:pPr>
      <w:bookmarkStart w:id="26" w:name="_Toc185245943"/>
      <w:bookmarkStart w:id="27" w:name="_Toc185605223"/>
      <w:r w:rsidRPr="00521A02">
        <w:rPr>
          <w:rFonts w:ascii="Bookman Old Style" w:hAnsi="Bookman Old Style"/>
          <w:b/>
          <w:bCs/>
          <w:sz w:val="22"/>
          <w:szCs w:val="22"/>
        </w:rPr>
        <w:t>Fondo straordinario per il rafforzamento dei servizi sociali Comuni fino a 3000 abitanti</w:t>
      </w:r>
      <w:bookmarkEnd w:id="26"/>
      <w:r w:rsidRPr="00521A02">
        <w:rPr>
          <w:rFonts w:ascii="Bookman Old Style" w:hAnsi="Bookman Old Style"/>
          <w:b/>
          <w:bCs/>
          <w:sz w:val="22"/>
          <w:szCs w:val="22"/>
        </w:rPr>
        <w:t xml:space="preserve"> (</w:t>
      </w:r>
      <w:r w:rsidR="00E51915" w:rsidRPr="00521A02">
        <w:rPr>
          <w:rFonts w:ascii="Bookman Old Style" w:hAnsi="Bookman Old Style"/>
          <w:b/>
          <w:bCs/>
          <w:sz w:val="22"/>
          <w:szCs w:val="22"/>
        </w:rPr>
        <w:t>A</w:t>
      </w:r>
      <w:r w:rsidRPr="00521A02">
        <w:rPr>
          <w:rFonts w:ascii="Bookman Old Style" w:hAnsi="Bookman Old Style"/>
          <w:b/>
          <w:bCs/>
          <w:sz w:val="22"/>
          <w:szCs w:val="22"/>
        </w:rPr>
        <w:t>rt. 1</w:t>
      </w:r>
      <w:r w:rsidR="00E51915" w:rsidRPr="00521A02">
        <w:rPr>
          <w:rFonts w:ascii="Bookman Old Style" w:hAnsi="Bookman Old Style"/>
          <w:b/>
          <w:bCs/>
          <w:sz w:val="22"/>
          <w:szCs w:val="22"/>
        </w:rPr>
        <w:t>, commi 769-771</w:t>
      </w:r>
      <w:r w:rsidRPr="00521A02">
        <w:rPr>
          <w:rFonts w:ascii="Bookman Old Style" w:hAnsi="Bookman Old Style"/>
          <w:b/>
          <w:bCs/>
          <w:sz w:val="22"/>
          <w:szCs w:val="22"/>
        </w:rPr>
        <w:t>)</w:t>
      </w:r>
      <w:bookmarkEnd w:id="27"/>
    </w:p>
    <w:p w14:paraId="58CCD5E8" w14:textId="4FFAED2A" w:rsidR="00AE7348" w:rsidRPr="00521A02" w:rsidRDefault="00AE7348" w:rsidP="00BF47D2">
      <w:pPr>
        <w:spacing w:after="80"/>
        <w:jc w:val="both"/>
        <w:rPr>
          <w:rFonts w:ascii="Bookman Old Style" w:hAnsi="Bookman Old Style"/>
        </w:rPr>
      </w:pPr>
      <w:r w:rsidRPr="00521A02">
        <w:rPr>
          <w:rFonts w:ascii="Bookman Old Style" w:hAnsi="Bookman Old Style"/>
        </w:rPr>
        <w:t xml:space="preserve">La norma, proposta dai relatori e approvata in </w:t>
      </w:r>
      <w:r w:rsidR="00867805" w:rsidRPr="00521A02">
        <w:rPr>
          <w:rFonts w:ascii="Bookman Old Style" w:hAnsi="Bookman Old Style"/>
        </w:rPr>
        <w:t>C</w:t>
      </w:r>
      <w:r w:rsidRPr="00521A02">
        <w:rPr>
          <w:rFonts w:ascii="Bookman Old Style" w:hAnsi="Bookman Old Style"/>
        </w:rPr>
        <w:t xml:space="preserve">ommissione </w:t>
      </w:r>
      <w:r w:rsidR="00397B0B" w:rsidRPr="00521A02">
        <w:rPr>
          <w:rFonts w:ascii="Bookman Old Style" w:hAnsi="Bookman Old Style"/>
        </w:rPr>
        <w:t xml:space="preserve">Bilancio </w:t>
      </w:r>
      <w:r w:rsidRPr="00521A02">
        <w:rPr>
          <w:rFonts w:ascii="Bookman Old Style" w:hAnsi="Bookman Old Style"/>
        </w:rPr>
        <w:t xml:space="preserve">Camera, istituisce nello stato di previsione del Ministero dell'interno, </w:t>
      </w:r>
      <w:r w:rsidRPr="00A40957">
        <w:rPr>
          <w:rFonts w:ascii="Bookman Old Style" w:hAnsi="Bookman Old Style"/>
          <w:b/>
          <w:bCs/>
        </w:rPr>
        <w:t>un fondo di 5 milioni euro per ciascuno degli anni 2025 e 2026 al fine di rafforzare</w:t>
      </w:r>
      <w:r w:rsidRPr="00521A02">
        <w:rPr>
          <w:rFonts w:ascii="Bookman Old Style" w:hAnsi="Bookman Old Style"/>
        </w:rPr>
        <w:t xml:space="preserve">, in via straordinaria e temporanea, l'offerta di servizi sociali da parte dei </w:t>
      </w:r>
      <w:r w:rsidRPr="00A40957">
        <w:rPr>
          <w:rFonts w:ascii="Bookman Old Style" w:hAnsi="Bookman Old Style"/>
          <w:b/>
          <w:bCs/>
        </w:rPr>
        <w:t>piccoli Comuni in difficoltà finanziaria</w:t>
      </w:r>
      <w:r w:rsidRPr="00521A02">
        <w:rPr>
          <w:rFonts w:ascii="Bookman Old Style" w:hAnsi="Bookman Old Style"/>
        </w:rPr>
        <w:t>.</w:t>
      </w:r>
    </w:p>
    <w:p w14:paraId="45371599" w14:textId="2B1FB615" w:rsidR="00AE7348" w:rsidRPr="00521A02" w:rsidRDefault="00AE7348" w:rsidP="00BF47D2">
      <w:pPr>
        <w:spacing w:after="80"/>
        <w:jc w:val="both"/>
        <w:rPr>
          <w:rFonts w:ascii="Bookman Old Style" w:hAnsi="Bookman Old Style"/>
        </w:rPr>
      </w:pPr>
      <w:r w:rsidRPr="00521A02">
        <w:rPr>
          <w:rFonts w:ascii="Bookman Old Style" w:hAnsi="Bookman Old Style"/>
        </w:rPr>
        <w:t xml:space="preserve">I contributi sono destinati ai Comuni che soddisfano </w:t>
      </w:r>
      <w:r w:rsidR="00397B0B" w:rsidRPr="00521A02">
        <w:rPr>
          <w:rFonts w:ascii="Bookman Old Style" w:hAnsi="Bookman Old Style"/>
        </w:rPr>
        <w:t xml:space="preserve">tutti </w:t>
      </w:r>
      <w:r w:rsidRPr="00521A02">
        <w:rPr>
          <w:rFonts w:ascii="Bookman Old Style" w:hAnsi="Bookman Old Style"/>
        </w:rPr>
        <w:t>i seguenti requisiti:</w:t>
      </w:r>
    </w:p>
    <w:p w14:paraId="6D447322" w14:textId="77777777" w:rsidR="00AE7348" w:rsidRPr="00521A02" w:rsidRDefault="00AE7348" w:rsidP="00BF47D2">
      <w:pPr>
        <w:spacing w:after="80"/>
        <w:jc w:val="both"/>
        <w:rPr>
          <w:rFonts w:ascii="Bookman Old Style" w:hAnsi="Bookman Old Style"/>
        </w:rPr>
      </w:pPr>
      <w:r w:rsidRPr="00521A02">
        <w:rPr>
          <w:rFonts w:ascii="Bookman Old Style" w:hAnsi="Bookman Old Style"/>
        </w:rPr>
        <w:t>a) popolazione residente, come risultante dai dati ISTAT relativi al penultimo anno precedente, non superiore a 3.000 abitanti;</w:t>
      </w:r>
    </w:p>
    <w:p w14:paraId="7601D669" w14:textId="77777777" w:rsidR="00AE7348" w:rsidRPr="00521A02" w:rsidRDefault="00AE7348" w:rsidP="00BF47D2">
      <w:pPr>
        <w:spacing w:after="80"/>
        <w:jc w:val="both"/>
        <w:rPr>
          <w:rFonts w:ascii="Bookman Old Style" w:hAnsi="Bookman Old Style"/>
        </w:rPr>
      </w:pPr>
      <w:r w:rsidRPr="00521A02">
        <w:rPr>
          <w:rFonts w:ascii="Bookman Old Style" w:hAnsi="Bookman Old Style"/>
        </w:rPr>
        <w:t>b) variazione percentuale negativa della popolazione residente nell'anno 2023 superiore al 5 per cento del dato relativo alla popolazione residente risultante nell'anno 2011;</w:t>
      </w:r>
    </w:p>
    <w:p w14:paraId="3F8B6C1C" w14:textId="7A9915F9" w:rsidR="00AE7348" w:rsidRPr="00521A02" w:rsidRDefault="00AE7348" w:rsidP="00BF47D2">
      <w:pPr>
        <w:spacing w:after="80"/>
        <w:jc w:val="both"/>
        <w:rPr>
          <w:rFonts w:ascii="Bookman Old Style" w:hAnsi="Bookman Old Style"/>
        </w:rPr>
      </w:pPr>
      <w:r w:rsidRPr="00521A02">
        <w:rPr>
          <w:rFonts w:ascii="Bookman Old Style" w:hAnsi="Bookman Old Style"/>
        </w:rPr>
        <w:t xml:space="preserve">e) classificazione </w:t>
      </w:r>
      <w:r w:rsidR="00397B0B" w:rsidRPr="00521A02">
        <w:rPr>
          <w:rFonts w:ascii="Bookman Old Style" w:hAnsi="Bookman Old Style"/>
        </w:rPr>
        <w:t xml:space="preserve">di </w:t>
      </w:r>
      <w:r w:rsidRPr="00521A02">
        <w:rPr>
          <w:rFonts w:ascii="Bookman Old Style" w:hAnsi="Bookman Old Style"/>
        </w:rPr>
        <w:t>Comune totalmente montano, ai sensi dell'articolo 1, della legge 25 luglio 1952, n. 991;</w:t>
      </w:r>
    </w:p>
    <w:p w14:paraId="62BF52A6" w14:textId="77777777" w:rsidR="00AE7348" w:rsidRPr="00521A02" w:rsidRDefault="00AE7348" w:rsidP="00BF47D2">
      <w:pPr>
        <w:spacing w:after="80"/>
        <w:jc w:val="both"/>
        <w:rPr>
          <w:rFonts w:ascii="Bookman Old Style" w:hAnsi="Bookman Old Style"/>
        </w:rPr>
      </w:pPr>
      <w:r w:rsidRPr="00521A02">
        <w:rPr>
          <w:rFonts w:ascii="Bookman Old Style" w:hAnsi="Bookman Old Style"/>
        </w:rPr>
        <w:t>d) in stato di dissesto o in procedura di riequilibrio finanziario pluriennale, ai sensi degli articoli 244 e 243 bis del decreto legislativo 18 agosto 2000, n. 267.</w:t>
      </w:r>
    </w:p>
    <w:p w14:paraId="60D29A65" w14:textId="77777777" w:rsidR="00AE7348" w:rsidRPr="00521A02" w:rsidRDefault="00AE7348" w:rsidP="00BF47D2">
      <w:pPr>
        <w:spacing w:after="80"/>
        <w:jc w:val="both"/>
        <w:rPr>
          <w:rFonts w:ascii="Bookman Old Style" w:hAnsi="Bookman Old Style"/>
        </w:rPr>
      </w:pPr>
      <w:r w:rsidRPr="00521A02">
        <w:rPr>
          <w:rFonts w:ascii="Bookman Old Style" w:hAnsi="Bookman Old Style"/>
        </w:rPr>
        <w:t xml:space="preserve">La ripartizione del fondo avviene in maniera proporzionale alle spese risultanti per la Missione 12 nell'ultimo rendiconto approvato dall'ente, con decreto del Ministro dell'interno, di concerto con il Ministro economia e delle finanze, sentita la Conferenza </w:t>
      </w:r>
      <w:r w:rsidRPr="00521A02">
        <w:rPr>
          <w:rFonts w:ascii="Bookman Old Style" w:hAnsi="Bookman Old Style"/>
        </w:rPr>
        <w:lastRenderedPageBreak/>
        <w:t>Stato città ed autonomie locali, da adottarsi entro sessanta giorni dalla data di entrata in vigore della presente legge.</w:t>
      </w:r>
    </w:p>
    <w:p w14:paraId="43A67454" w14:textId="2D17E845" w:rsidR="001E095F" w:rsidRPr="00521A02" w:rsidRDefault="00556854" w:rsidP="005674E5">
      <w:pPr>
        <w:pStyle w:val="Titolo1"/>
        <w:spacing w:after="240"/>
        <w:rPr>
          <w:rFonts w:ascii="Bookman Old Style" w:hAnsi="Bookman Old Style"/>
          <w:b/>
          <w:bCs/>
          <w:sz w:val="22"/>
          <w:szCs w:val="22"/>
        </w:rPr>
      </w:pPr>
      <w:bookmarkStart w:id="28" w:name="_Toc185605224"/>
      <w:r w:rsidRPr="00521A02">
        <w:rPr>
          <w:rFonts w:ascii="Bookman Old Style" w:hAnsi="Bookman Old Style"/>
          <w:b/>
          <w:bCs/>
          <w:sz w:val="22"/>
          <w:szCs w:val="22"/>
        </w:rPr>
        <w:t>RIGENERAZIONE URBANA E OPERE MEDIE</w:t>
      </w:r>
      <w:bookmarkEnd w:id="28"/>
    </w:p>
    <w:p w14:paraId="63C9A270" w14:textId="7093508D" w:rsidR="001E095F" w:rsidRPr="00521A02" w:rsidRDefault="001E095F" w:rsidP="00063EB5">
      <w:pPr>
        <w:pStyle w:val="Titolo2"/>
        <w:numPr>
          <w:ilvl w:val="0"/>
          <w:numId w:val="12"/>
        </w:numPr>
        <w:spacing w:before="0"/>
        <w:rPr>
          <w:rFonts w:ascii="Bookman Old Style" w:hAnsi="Bookman Old Style"/>
          <w:b/>
          <w:bCs/>
          <w:sz w:val="22"/>
          <w:szCs w:val="22"/>
        </w:rPr>
      </w:pPr>
      <w:bookmarkStart w:id="29" w:name="_Toc185605225"/>
      <w:bookmarkStart w:id="30" w:name="_Hlk185441272"/>
      <w:r w:rsidRPr="00521A02">
        <w:rPr>
          <w:rFonts w:ascii="Bookman Old Style" w:hAnsi="Bookman Old Style"/>
          <w:b/>
          <w:bCs/>
          <w:sz w:val="22"/>
          <w:szCs w:val="22"/>
        </w:rPr>
        <w:t>Rigenerazione urbana (Art. 1</w:t>
      </w:r>
      <w:r w:rsidR="00E51915" w:rsidRPr="00521A02">
        <w:rPr>
          <w:rFonts w:ascii="Bookman Old Style" w:hAnsi="Bookman Old Style"/>
          <w:b/>
          <w:bCs/>
          <w:sz w:val="22"/>
          <w:szCs w:val="22"/>
        </w:rPr>
        <w:t xml:space="preserve">, </w:t>
      </w:r>
      <w:bookmarkStart w:id="31" w:name="_Hlk185506916"/>
      <w:r w:rsidRPr="00521A02">
        <w:rPr>
          <w:rFonts w:ascii="Bookman Old Style" w:hAnsi="Bookman Old Style"/>
          <w:b/>
          <w:bCs/>
          <w:sz w:val="22"/>
          <w:szCs w:val="22"/>
        </w:rPr>
        <w:t>comm</w:t>
      </w:r>
      <w:r w:rsidR="007E18BA" w:rsidRPr="00521A02">
        <w:rPr>
          <w:rFonts w:ascii="Bookman Old Style" w:hAnsi="Bookman Old Style"/>
          <w:b/>
          <w:bCs/>
          <w:sz w:val="22"/>
          <w:szCs w:val="22"/>
        </w:rPr>
        <w:t>i</w:t>
      </w:r>
      <w:r w:rsidRPr="00521A02">
        <w:rPr>
          <w:rFonts w:ascii="Bookman Old Style" w:hAnsi="Bookman Old Style"/>
          <w:b/>
          <w:bCs/>
          <w:sz w:val="22"/>
          <w:szCs w:val="22"/>
        </w:rPr>
        <w:t xml:space="preserve"> </w:t>
      </w:r>
      <w:r w:rsidR="007E18BA" w:rsidRPr="00521A02">
        <w:rPr>
          <w:rFonts w:ascii="Bookman Old Style" w:hAnsi="Bookman Old Style"/>
          <w:b/>
          <w:bCs/>
          <w:sz w:val="22"/>
          <w:szCs w:val="22"/>
        </w:rPr>
        <w:t>805</w:t>
      </w:r>
      <w:r w:rsidR="00F74EA5" w:rsidRPr="00521A02">
        <w:rPr>
          <w:rFonts w:ascii="Bookman Old Style" w:hAnsi="Bookman Old Style"/>
          <w:b/>
          <w:bCs/>
          <w:sz w:val="22"/>
          <w:szCs w:val="22"/>
        </w:rPr>
        <w:t>-80</w:t>
      </w:r>
      <w:r w:rsidR="00944001" w:rsidRPr="00521A02">
        <w:rPr>
          <w:rFonts w:ascii="Bookman Old Style" w:hAnsi="Bookman Old Style"/>
          <w:b/>
          <w:bCs/>
          <w:sz w:val="22"/>
          <w:szCs w:val="22"/>
        </w:rPr>
        <w:t>8</w:t>
      </w:r>
      <w:bookmarkEnd w:id="31"/>
      <w:r w:rsidRPr="00521A02">
        <w:rPr>
          <w:rFonts w:ascii="Bookman Old Style" w:hAnsi="Bookman Old Style"/>
          <w:b/>
          <w:bCs/>
          <w:sz w:val="22"/>
          <w:szCs w:val="22"/>
        </w:rPr>
        <w:t>)</w:t>
      </w:r>
      <w:bookmarkEnd w:id="29"/>
    </w:p>
    <w:bookmarkEnd w:id="30"/>
    <w:p w14:paraId="3C143C17" w14:textId="084E9F6B" w:rsidR="005B5598" w:rsidRPr="00521A02" w:rsidRDefault="001E095F" w:rsidP="00063EB5">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 xml:space="preserve">La norma, </w:t>
      </w:r>
      <w:r w:rsidRPr="00521A02">
        <w:rPr>
          <w:rFonts w:ascii="Bookman Old Style" w:hAnsi="Bookman Old Style"/>
        </w:rPr>
        <w:t xml:space="preserve">approvata in </w:t>
      </w:r>
      <w:r w:rsidR="00867805" w:rsidRPr="00521A02">
        <w:rPr>
          <w:rFonts w:ascii="Bookman Old Style" w:hAnsi="Bookman Old Style"/>
        </w:rPr>
        <w:t>C</w:t>
      </w:r>
      <w:r w:rsidRPr="00521A02">
        <w:rPr>
          <w:rFonts w:ascii="Bookman Old Style" w:hAnsi="Bookman Old Style"/>
        </w:rPr>
        <w:t xml:space="preserve">ommissione </w:t>
      </w:r>
      <w:r w:rsidR="00397B0B" w:rsidRPr="00521A02">
        <w:rPr>
          <w:rFonts w:ascii="Bookman Old Style" w:hAnsi="Bookman Old Style"/>
        </w:rPr>
        <w:t>B</w:t>
      </w:r>
      <w:r w:rsidRPr="00521A02">
        <w:rPr>
          <w:rFonts w:ascii="Bookman Old Style" w:hAnsi="Bookman Old Style"/>
        </w:rPr>
        <w:t xml:space="preserve">ilancio Camera, </w:t>
      </w:r>
      <w:r w:rsidR="00D57C39" w:rsidRPr="00521A02">
        <w:rPr>
          <w:rFonts w:ascii="Bookman Old Style" w:hAnsi="Bookman Old Style"/>
          <w:b/>
          <w:bCs/>
        </w:rPr>
        <w:t>corregge</w:t>
      </w:r>
      <w:r w:rsidR="00612A77" w:rsidRPr="00521A02">
        <w:rPr>
          <w:rFonts w:ascii="Bookman Old Style" w:hAnsi="Bookman Old Style"/>
          <w:b/>
          <w:bCs/>
        </w:rPr>
        <w:t>, come richiesto da Anci</w:t>
      </w:r>
      <w:r w:rsidR="00612A77" w:rsidRPr="00521A02">
        <w:rPr>
          <w:rFonts w:ascii="Bookman Old Style" w:hAnsi="Bookman Old Style"/>
        </w:rPr>
        <w:t xml:space="preserve">, </w:t>
      </w:r>
      <w:r w:rsidRPr="00521A02">
        <w:rPr>
          <w:rFonts w:ascii="Bookman Old Style" w:hAnsi="Bookman Old Style" w:cs="CIDFont+F2"/>
          <w:kern w:val="0"/>
        </w:rPr>
        <w:t>che non s</w:t>
      </w:r>
      <w:r w:rsidR="00DF20D8">
        <w:rPr>
          <w:rFonts w:ascii="Bookman Old Style" w:hAnsi="Bookman Old Style" w:cs="CIDFont+F2"/>
          <w:kern w:val="0"/>
        </w:rPr>
        <w:t>ia</w:t>
      </w:r>
      <w:r w:rsidRPr="00521A02">
        <w:rPr>
          <w:rFonts w:ascii="Bookman Old Style" w:hAnsi="Bookman Old Style" w:cs="CIDFont+F2"/>
          <w:kern w:val="0"/>
        </w:rPr>
        <w:t xml:space="preserve">no soggetti a revoca i contributi riferiti all'anno 2022 dei Comuni per la realizzazione di opere per le quali, </w:t>
      </w:r>
      <w:r w:rsidRPr="00DF20D8">
        <w:rPr>
          <w:rFonts w:ascii="Bookman Old Style" w:hAnsi="Bookman Old Style" w:cs="CIDFont+F2"/>
          <w:b/>
          <w:bCs/>
          <w:kern w:val="0"/>
        </w:rPr>
        <w:t>alla data del 15 settembre 2024</w:t>
      </w:r>
      <w:r w:rsidRPr="00521A02">
        <w:rPr>
          <w:rFonts w:ascii="Bookman Old Style" w:hAnsi="Bookman Old Style" w:cs="CIDFont+F2"/>
          <w:kern w:val="0"/>
        </w:rPr>
        <w:t>, abbia avuto luogo l'affidamento dei lavori che coincide con la data di pubblicazione del bando, ovvero con la</w:t>
      </w:r>
      <w:r w:rsidR="007636DA" w:rsidRPr="00521A02">
        <w:rPr>
          <w:rFonts w:ascii="Bookman Old Style" w:hAnsi="Bookman Old Style" w:cs="CIDFont+F2"/>
          <w:kern w:val="0"/>
        </w:rPr>
        <w:t xml:space="preserve"> data di invio della</w:t>
      </w:r>
      <w:r w:rsidRPr="00521A02">
        <w:rPr>
          <w:rFonts w:ascii="Bookman Old Style" w:hAnsi="Bookman Old Style" w:cs="CIDFont+F2"/>
          <w:kern w:val="0"/>
        </w:rPr>
        <w:t xml:space="preserve"> lettera di invito, in caso di procedura negoziata, ovvero con l'affidamento diretto. </w:t>
      </w:r>
    </w:p>
    <w:p w14:paraId="743BFAC4" w14:textId="0BE8EAF8" w:rsidR="001E095F" w:rsidRPr="00521A02" w:rsidRDefault="005B5598" w:rsidP="00063EB5">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Vengono inoltre</w:t>
      </w:r>
      <w:r w:rsidR="00A40957">
        <w:rPr>
          <w:rFonts w:ascii="Bookman Old Style" w:hAnsi="Bookman Old Style" w:cs="CIDFont+F2"/>
          <w:kern w:val="0"/>
        </w:rPr>
        <w:t xml:space="preserve"> </w:t>
      </w:r>
      <w:r w:rsidR="00601319" w:rsidRPr="00521A02">
        <w:rPr>
          <w:rFonts w:ascii="Bookman Old Style" w:hAnsi="Bookman Old Style" w:cs="CIDFont+F2"/>
          <w:kern w:val="0"/>
        </w:rPr>
        <w:t xml:space="preserve">- sempre per </w:t>
      </w:r>
      <w:r w:rsidR="00D30115" w:rsidRPr="00521A02">
        <w:rPr>
          <w:rFonts w:ascii="Bookman Old Style" w:hAnsi="Bookman Old Style" w:cs="CIDFont+F2"/>
          <w:kern w:val="0"/>
        </w:rPr>
        <w:t xml:space="preserve">finanziamenti di </w:t>
      </w:r>
      <w:r w:rsidR="00601319" w:rsidRPr="00521A02">
        <w:rPr>
          <w:rFonts w:ascii="Bookman Old Style" w:hAnsi="Bookman Old Style" w:cs="CIDFont+F2"/>
          <w:kern w:val="0"/>
        </w:rPr>
        <w:t xml:space="preserve">investimenti di rigenerazione urbana previsti </w:t>
      </w:r>
      <w:r w:rsidR="00D30115" w:rsidRPr="00521A02">
        <w:rPr>
          <w:rFonts w:ascii="Bookman Old Style" w:hAnsi="Bookman Old Style" w:cs="CIDFont+F2"/>
          <w:kern w:val="0"/>
        </w:rPr>
        <w:t>dalla legge di bilancio n. 234</w:t>
      </w:r>
      <w:r w:rsidR="00C95397" w:rsidRPr="00521A02">
        <w:rPr>
          <w:rFonts w:ascii="Bookman Old Style" w:hAnsi="Bookman Old Style" w:cs="CIDFont+F2"/>
          <w:kern w:val="0"/>
        </w:rPr>
        <w:t>/</w:t>
      </w:r>
      <w:r w:rsidR="00D32811" w:rsidRPr="00521A02">
        <w:rPr>
          <w:rFonts w:ascii="Bookman Old Style" w:hAnsi="Bookman Old Style" w:cs="CIDFont+F2"/>
          <w:kern w:val="0"/>
        </w:rPr>
        <w:t>2021</w:t>
      </w:r>
      <w:r w:rsidR="00DC0D01" w:rsidRPr="00521A02">
        <w:rPr>
          <w:rFonts w:ascii="Bookman Old Style" w:hAnsi="Bookman Old Style" w:cs="CIDFont+F2"/>
          <w:kern w:val="0"/>
        </w:rPr>
        <w:t xml:space="preserve">- </w:t>
      </w:r>
      <w:r w:rsidR="009757EB" w:rsidRPr="00521A02">
        <w:rPr>
          <w:rFonts w:ascii="Bookman Old Style" w:hAnsi="Bookman Old Style" w:cs="CIDFont+F2"/>
          <w:kern w:val="0"/>
        </w:rPr>
        <w:t xml:space="preserve">prorogati i termini per la stipulazione dei contrati al 31 marzo 2025 </w:t>
      </w:r>
      <w:r w:rsidR="00B74217" w:rsidRPr="00521A02">
        <w:rPr>
          <w:rFonts w:ascii="Bookman Old Style" w:hAnsi="Bookman Old Style" w:cs="CIDFont+F2"/>
          <w:kern w:val="0"/>
        </w:rPr>
        <w:t>e l</w:t>
      </w:r>
      <w:r w:rsidR="00F74EA5" w:rsidRPr="00521A02">
        <w:rPr>
          <w:rFonts w:ascii="Bookman Old Style" w:hAnsi="Bookman Old Style" w:cs="CIDFont+F2"/>
          <w:kern w:val="0"/>
        </w:rPr>
        <w:t>’</w:t>
      </w:r>
      <w:r w:rsidR="00B74217" w:rsidRPr="00521A02">
        <w:rPr>
          <w:rFonts w:ascii="Bookman Old Style" w:hAnsi="Bookman Old Style" w:cs="CIDFont+F2"/>
          <w:kern w:val="0"/>
        </w:rPr>
        <w:t xml:space="preserve">eventuale revoca al 15 maggio 2025. </w:t>
      </w:r>
    </w:p>
    <w:p w14:paraId="4DEC7B45" w14:textId="4530A427" w:rsidR="00E51915" w:rsidRPr="00521A02" w:rsidRDefault="00397B0B" w:rsidP="00063EB5">
      <w:pPr>
        <w:pStyle w:val="Titolo2"/>
        <w:numPr>
          <w:ilvl w:val="0"/>
          <w:numId w:val="12"/>
        </w:numPr>
        <w:spacing w:before="0"/>
        <w:rPr>
          <w:rFonts w:ascii="Bookman Old Style" w:hAnsi="Bookman Old Style"/>
          <w:b/>
          <w:bCs/>
          <w:sz w:val="22"/>
          <w:szCs w:val="22"/>
        </w:rPr>
      </w:pPr>
      <w:bookmarkStart w:id="32" w:name="_Toc185605226"/>
      <w:r w:rsidRPr="00521A02">
        <w:rPr>
          <w:rFonts w:ascii="Bookman Old Style" w:hAnsi="Bookman Old Style"/>
          <w:b/>
          <w:bCs/>
          <w:sz w:val="22"/>
          <w:szCs w:val="22"/>
        </w:rPr>
        <w:t xml:space="preserve">Opere medie </w:t>
      </w:r>
      <w:r w:rsidR="00E51915" w:rsidRPr="00521A02">
        <w:rPr>
          <w:rFonts w:ascii="Bookman Old Style" w:hAnsi="Bookman Old Style"/>
          <w:b/>
          <w:bCs/>
          <w:sz w:val="22"/>
          <w:szCs w:val="22"/>
        </w:rPr>
        <w:t xml:space="preserve">(Art. 1, </w:t>
      </w:r>
      <w:r w:rsidR="00944001" w:rsidRPr="00521A02">
        <w:rPr>
          <w:rFonts w:ascii="Bookman Old Style" w:hAnsi="Bookman Old Style"/>
          <w:b/>
          <w:bCs/>
          <w:sz w:val="22"/>
          <w:szCs w:val="22"/>
        </w:rPr>
        <w:t>commi 805-808</w:t>
      </w:r>
      <w:r w:rsidR="00E51915" w:rsidRPr="00521A02">
        <w:rPr>
          <w:rFonts w:ascii="Bookman Old Style" w:hAnsi="Bookman Old Style"/>
          <w:b/>
          <w:bCs/>
          <w:sz w:val="22"/>
          <w:szCs w:val="22"/>
        </w:rPr>
        <w:t>)</w:t>
      </w:r>
      <w:bookmarkEnd w:id="32"/>
    </w:p>
    <w:p w14:paraId="31281FF4" w14:textId="22D04169" w:rsidR="00397B0B" w:rsidRPr="00521A02" w:rsidRDefault="00397B0B" w:rsidP="00063EB5">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 xml:space="preserve">La norma prevede che per le cd. “Opere medie” (art. 1, co. 139 e ss., l. 145/2018), non si proceda a revoca degli interventi oggetto di contributo con il </w:t>
      </w:r>
      <w:r w:rsidR="00930556">
        <w:rPr>
          <w:rFonts w:ascii="Bookman Old Style" w:hAnsi="Bookman Old Style" w:cs="CIDFont+F2"/>
          <w:kern w:val="0"/>
        </w:rPr>
        <w:t>DM</w:t>
      </w:r>
      <w:r w:rsidRPr="00521A02">
        <w:rPr>
          <w:rFonts w:ascii="Bookman Old Style" w:hAnsi="Bookman Old Style" w:cs="CIDFont+F2"/>
          <w:kern w:val="0"/>
        </w:rPr>
        <w:t xml:space="preserve"> Interno 16 luglio 2022</w:t>
      </w:r>
      <w:r w:rsidR="00E51915" w:rsidRPr="00521A02">
        <w:rPr>
          <w:rFonts w:ascii="Bookman Old Style" w:hAnsi="Bookman Old Style" w:cs="CIDFont+F2"/>
          <w:kern w:val="0"/>
        </w:rPr>
        <w:t>.</w:t>
      </w:r>
    </w:p>
    <w:p w14:paraId="08BA6768" w14:textId="699BF6B6" w:rsidR="00A54737" w:rsidRPr="00521A02" w:rsidRDefault="00A54737" w:rsidP="005674E5">
      <w:pPr>
        <w:pStyle w:val="Titolo1"/>
        <w:spacing w:after="240"/>
        <w:rPr>
          <w:rFonts w:ascii="Bookman Old Style" w:hAnsi="Bookman Old Style"/>
          <w:b/>
          <w:bCs/>
          <w:sz w:val="22"/>
          <w:szCs w:val="22"/>
        </w:rPr>
      </w:pPr>
      <w:bookmarkStart w:id="33" w:name="_Toc185605227"/>
      <w:r w:rsidRPr="00521A02">
        <w:rPr>
          <w:rFonts w:ascii="Bookman Old Style" w:hAnsi="Bookman Old Style"/>
          <w:b/>
          <w:bCs/>
          <w:sz w:val="22"/>
          <w:szCs w:val="22"/>
        </w:rPr>
        <w:t>IN</w:t>
      </w:r>
      <w:r w:rsidR="00A9738A" w:rsidRPr="00521A02">
        <w:rPr>
          <w:rFonts w:ascii="Bookman Old Style" w:hAnsi="Bookman Old Style"/>
          <w:b/>
          <w:bCs/>
          <w:sz w:val="22"/>
          <w:szCs w:val="22"/>
        </w:rPr>
        <w:t>FRASTRUTTURE E TPL</w:t>
      </w:r>
      <w:bookmarkEnd w:id="33"/>
    </w:p>
    <w:p w14:paraId="237ECF5B" w14:textId="5784A045" w:rsidR="00C47F68" w:rsidRPr="00521A02" w:rsidRDefault="00C47F68" w:rsidP="00063EB5">
      <w:pPr>
        <w:pStyle w:val="Titolo2"/>
        <w:numPr>
          <w:ilvl w:val="0"/>
          <w:numId w:val="13"/>
        </w:numPr>
        <w:spacing w:before="0"/>
        <w:jc w:val="both"/>
        <w:rPr>
          <w:rFonts w:ascii="Bookman Old Style" w:hAnsi="Bookman Old Style"/>
          <w:b/>
          <w:bCs/>
          <w:sz w:val="22"/>
          <w:szCs w:val="22"/>
        </w:rPr>
      </w:pPr>
      <w:bookmarkStart w:id="34" w:name="_Toc185605228"/>
      <w:r w:rsidRPr="00521A02">
        <w:rPr>
          <w:rFonts w:ascii="Bookman Old Style" w:hAnsi="Bookman Old Style"/>
          <w:b/>
          <w:bCs/>
          <w:sz w:val="22"/>
          <w:szCs w:val="22"/>
        </w:rPr>
        <w:t>Incremento finanziamento di interventi in materia di investimenti, infrastrutture e trasporti (</w:t>
      </w:r>
      <w:r w:rsidR="001A5A67" w:rsidRPr="00521A02">
        <w:rPr>
          <w:rFonts w:ascii="Bookman Old Style" w:hAnsi="Bookman Old Style"/>
          <w:b/>
          <w:bCs/>
          <w:sz w:val="22"/>
          <w:szCs w:val="22"/>
        </w:rPr>
        <w:t>Art. 1, comma 527)</w:t>
      </w:r>
      <w:bookmarkEnd w:id="34"/>
    </w:p>
    <w:p w14:paraId="67FCDC96" w14:textId="4D1B8CFE" w:rsidR="00C47F68" w:rsidRPr="00521A02" w:rsidRDefault="00C47F68" w:rsidP="00063EB5">
      <w:pPr>
        <w:spacing w:after="80"/>
        <w:jc w:val="both"/>
        <w:rPr>
          <w:rFonts w:ascii="Bookman Old Style" w:hAnsi="Bookman Old Style"/>
        </w:rPr>
      </w:pPr>
      <w:r w:rsidRPr="00521A02">
        <w:rPr>
          <w:rFonts w:ascii="Bookman Old Style" w:hAnsi="Bookman Old Style"/>
        </w:rPr>
        <w:t xml:space="preserve">La norma, approvata durante l’esame in </w:t>
      </w:r>
      <w:r w:rsidR="004C1861" w:rsidRPr="00521A02">
        <w:rPr>
          <w:rFonts w:ascii="Bookman Old Style" w:hAnsi="Bookman Old Style"/>
        </w:rPr>
        <w:t>C</w:t>
      </w:r>
      <w:r w:rsidRPr="00521A02">
        <w:rPr>
          <w:rFonts w:ascii="Bookman Old Style" w:hAnsi="Bookman Old Style"/>
        </w:rPr>
        <w:t xml:space="preserve">ommissione </w:t>
      </w:r>
      <w:r w:rsidR="00397B0B" w:rsidRPr="00521A02">
        <w:rPr>
          <w:rFonts w:ascii="Bookman Old Style" w:hAnsi="Bookman Old Style"/>
        </w:rPr>
        <w:t>Bilancio</w:t>
      </w:r>
      <w:r w:rsidR="00DE10D0" w:rsidRPr="00521A02">
        <w:rPr>
          <w:rFonts w:ascii="Bookman Old Style" w:hAnsi="Bookman Old Style"/>
        </w:rPr>
        <w:t xml:space="preserve"> Camera</w:t>
      </w:r>
      <w:r w:rsidRPr="00521A02">
        <w:rPr>
          <w:rFonts w:ascii="Bookman Old Style" w:hAnsi="Bookman Old Style"/>
        </w:rPr>
        <w:t>, aumenta la dotazione del fondo</w:t>
      </w:r>
      <w:r w:rsidR="00A75BF9" w:rsidRPr="00521A02">
        <w:rPr>
          <w:rFonts w:ascii="Bookman Old Style" w:hAnsi="Bookman Old Style"/>
        </w:rPr>
        <w:t xml:space="preserve"> p</w:t>
      </w:r>
      <w:r w:rsidRPr="00521A02">
        <w:rPr>
          <w:rFonts w:ascii="Bookman Old Style" w:hAnsi="Bookman Old Style"/>
        </w:rPr>
        <w:t>er assicurare il finanziamento di interventi urgenti di riqualificazione, ristrutturazione, ammodernamento e ampliamento di strutture e infrastrutture pubbliche, finalizzati al riequilibrio socio-economico e allo sviluppo dei territori</w:t>
      </w:r>
      <w:r w:rsidR="007679B6" w:rsidRPr="00521A02">
        <w:rPr>
          <w:rFonts w:ascii="Bookman Old Style" w:hAnsi="Bookman Old Style"/>
        </w:rPr>
        <w:t>,</w:t>
      </w:r>
      <w:r w:rsidRPr="00521A02">
        <w:rPr>
          <w:rFonts w:ascii="Bookman Old Style" w:hAnsi="Bookman Old Style"/>
        </w:rPr>
        <w:t xml:space="preserve"> </w:t>
      </w:r>
      <w:r w:rsidR="00A75BF9" w:rsidRPr="00521A02">
        <w:rPr>
          <w:rFonts w:ascii="Bookman Old Style" w:hAnsi="Bookman Old Style"/>
        </w:rPr>
        <w:t>previsto nelle legge di bilancio per il 2024</w:t>
      </w:r>
      <w:r w:rsidR="007679B6" w:rsidRPr="00521A02">
        <w:rPr>
          <w:rFonts w:ascii="Bookman Old Style" w:hAnsi="Bookman Old Style"/>
        </w:rPr>
        <w:t xml:space="preserve">, </w:t>
      </w:r>
      <w:r w:rsidRPr="00521A02">
        <w:rPr>
          <w:rFonts w:ascii="Bookman Old Style" w:hAnsi="Bookman Old Style"/>
        </w:rPr>
        <w:t>portandola a  17,5 milioni di euro per l'anno 2024 e di 17,5 milioni di euro annui per ciascuno degli anni 2025 e 2026.</w:t>
      </w:r>
    </w:p>
    <w:p w14:paraId="41D99BA6" w14:textId="733C1D3A" w:rsidR="001E095F" w:rsidRPr="00521A02" w:rsidRDefault="001E095F" w:rsidP="00063EB5">
      <w:pPr>
        <w:pStyle w:val="Titolo2"/>
        <w:numPr>
          <w:ilvl w:val="0"/>
          <w:numId w:val="14"/>
        </w:numPr>
        <w:spacing w:before="0"/>
        <w:rPr>
          <w:rFonts w:ascii="Bookman Old Style" w:hAnsi="Bookman Old Style"/>
          <w:b/>
          <w:bCs/>
          <w:sz w:val="22"/>
          <w:szCs w:val="22"/>
          <w:lang w:val="en-US"/>
        </w:rPr>
      </w:pPr>
      <w:bookmarkStart w:id="35" w:name="_Toc185605229"/>
      <w:r w:rsidRPr="00521A02">
        <w:rPr>
          <w:rFonts w:ascii="Bookman Old Style" w:hAnsi="Bookman Old Style"/>
          <w:b/>
          <w:bCs/>
          <w:sz w:val="22"/>
          <w:szCs w:val="22"/>
          <w:lang w:val="en-US"/>
        </w:rPr>
        <w:t>Rinnovo bus TPL (Art.</w:t>
      </w:r>
      <w:r w:rsidR="00802278" w:rsidRPr="00521A02">
        <w:rPr>
          <w:rFonts w:ascii="Bookman Old Style" w:hAnsi="Bookman Old Style"/>
          <w:b/>
          <w:bCs/>
          <w:sz w:val="22"/>
          <w:szCs w:val="22"/>
          <w:lang w:val="en-US"/>
        </w:rPr>
        <w:t xml:space="preserve"> 1, comma 526</w:t>
      </w:r>
      <w:r w:rsidRPr="00521A02">
        <w:rPr>
          <w:rFonts w:ascii="Bookman Old Style" w:hAnsi="Bookman Old Style"/>
          <w:b/>
          <w:bCs/>
          <w:sz w:val="22"/>
          <w:szCs w:val="22"/>
          <w:lang w:val="en-US"/>
        </w:rPr>
        <w:t>)</w:t>
      </w:r>
      <w:bookmarkEnd w:id="35"/>
    </w:p>
    <w:p w14:paraId="5434F67C" w14:textId="00FD1857" w:rsidR="001E095F" w:rsidRPr="00521A02" w:rsidRDefault="001E095F" w:rsidP="00063EB5">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 xml:space="preserve">La norma, </w:t>
      </w:r>
      <w:r w:rsidRPr="00521A02">
        <w:rPr>
          <w:rFonts w:ascii="Bookman Old Style" w:hAnsi="Bookman Old Style"/>
        </w:rPr>
        <w:t xml:space="preserve">approvata in </w:t>
      </w:r>
      <w:r w:rsidR="004C1861" w:rsidRPr="00521A02">
        <w:rPr>
          <w:rFonts w:ascii="Bookman Old Style" w:hAnsi="Bookman Old Style"/>
        </w:rPr>
        <w:t>C</w:t>
      </w:r>
      <w:r w:rsidRPr="00521A02">
        <w:rPr>
          <w:rFonts w:ascii="Bookman Old Style" w:hAnsi="Bookman Old Style"/>
        </w:rPr>
        <w:t xml:space="preserve">ommissione </w:t>
      </w:r>
      <w:r w:rsidR="00DE10D0" w:rsidRPr="00521A02">
        <w:rPr>
          <w:rFonts w:ascii="Bookman Old Style" w:hAnsi="Bookman Old Style"/>
        </w:rPr>
        <w:t>B</w:t>
      </w:r>
      <w:r w:rsidRPr="00521A02">
        <w:rPr>
          <w:rFonts w:ascii="Bookman Old Style" w:hAnsi="Bookman Old Style"/>
        </w:rPr>
        <w:t xml:space="preserve">ilancio Camera, </w:t>
      </w:r>
      <w:r w:rsidRPr="00521A02">
        <w:rPr>
          <w:rFonts w:ascii="Bookman Old Style" w:hAnsi="Bookman Old Style" w:cs="CIDFont+F2"/>
          <w:kern w:val="0"/>
        </w:rPr>
        <w:t xml:space="preserve"> al fine di accelerare il rinnovo del parco autobus per i servizi di TPL locale e regionale, prevede che Regioni e Città metropolitane possano utilizzare le risorse già assegnate, per ciascuno degli anni dal 2024 al 2028, nell’ambito del PSNMS anche per il finanziamento di autobus ad uso extraurbano con alimentazione diesel o ibrida ad emissione di gas di scarico della classe più recente. Ciascuna Regione o Città può utilizzare per tale fine una quota non superiore al 25% delle risorse attribuitegli complessivamente per il quinquennio 2024-2028 e, fermo restando questo limite, utilizzare anche le risorse stanziate nel rispettivo programma di investimento per gli investimenti in autobus ad uso extraurbano alimentati a metano.</w:t>
      </w:r>
    </w:p>
    <w:p w14:paraId="0EE0E252" w14:textId="77777777" w:rsidR="001E095F" w:rsidRPr="00521A02" w:rsidRDefault="001E095F" w:rsidP="00063EB5">
      <w:pPr>
        <w:autoSpaceDE w:val="0"/>
        <w:autoSpaceDN w:val="0"/>
        <w:adjustRightInd w:val="0"/>
        <w:spacing w:after="80"/>
        <w:jc w:val="both"/>
        <w:rPr>
          <w:rFonts w:ascii="Bookman Old Style" w:hAnsi="Bookman Old Style" w:cs="CIDFont+F2"/>
          <w:kern w:val="0"/>
        </w:rPr>
      </w:pPr>
    </w:p>
    <w:p w14:paraId="5236F5E0" w14:textId="5E98BC0B" w:rsidR="00D000D1" w:rsidRPr="00521A02" w:rsidRDefault="00554C56" w:rsidP="005674E5">
      <w:pPr>
        <w:pStyle w:val="Titolo1"/>
        <w:spacing w:after="240"/>
        <w:rPr>
          <w:rFonts w:ascii="Bookman Old Style" w:hAnsi="Bookman Old Style"/>
          <w:b/>
          <w:bCs/>
          <w:sz w:val="22"/>
          <w:szCs w:val="22"/>
        </w:rPr>
      </w:pPr>
      <w:bookmarkStart w:id="36" w:name="_Toc185605230"/>
      <w:r w:rsidRPr="00521A02">
        <w:rPr>
          <w:rFonts w:ascii="Bookman Old Style" w:hAnsi="Bookman Old Style"/>
          <w:b/>
          <w:bCs/>
          <w:sz w:val="22"/>
          <w:szCs w:val="22"/>
        </w:rPr>
        <w:t>FONDI</w:t>
      </w:r>
      <w:bookmarkEnd w:id="36"/>
      <w:r w:rsidR="00A06F13" w:rsidRPr="00521A02">
        <w:rPr>
          <w:rFonts w:ascii="Bookman Old Style" w:hAnsi="Bookman Old Style"/>
          <w:b/>
          <w:bCs/>
          <w:sz w:val="22"/>
          <w:szCs w:val="22"/>
        </w:rPr>
        <w:t xml:space="preserve"> </w:t>
      </w:r>
    </w:p>
    <w:p w14:paraId="288840C9" w14:textId="2C961C18" w:rsidR="003975C9" w:rsidRPr="00521A02" w:rsidRDefault="003975C9" w:rsidP="00063EB5">
      <w:pPr>
        <w:pStyle w:val="Titolo2"/>
        <w:numPr>
          <w:ilvl w:val="0"/>
          <w:numId w:val="15"/>
        </w:numPr>
        <w:spacing w:before="0"/>
        <w:rPr>
          <w:rFonts w:ascii="Bookman Old Style" w:hAnsi="Bookman Old Style"/>
          <w:b/>
          <w:bCs/>
          <w:sz w:val="22"/>
          <w:szCs w:val="22"/>
        </w:rPr>
      </w:pPr>
      <w:bookmarkStart w:id="37" w:name="_Toc185605231"/>
      <w:r w:rsidRPr="00521A02">
        <w:rPr>
          <w:rFonts w:ascii="Bookman Old Style" w:hAnsi="Bookman Old Style"/>
          <w:b/>
          <w:bCs/>
          <w:sz w:val="22"/>
          <w:szCs w:val="22"/>
        </w:rPr>
        <w:t xml:space="preserve">Fondo destinato ai </w:t>
      </w:r>
      <w:r w:rsidR="005643E0" w:rsidRPr="00521A02">
        <w:rPr>
          <w:rFonts w:ascii="Bookman Old Style" w:hAnsi="Bookman Old Style"/>
          <w:b/>
          <w:bCs/>
          <w:sz w:val="22"/>
          <w:szCs w:val="22"/>
        </w:rPr>
        <w:t>C</w:t>
      </w:r>
      <w:r w:rsidRPr="00521A02">
        <w:rPr>
          <w:rFonts w:ascii="Bookman Old Style" w:hAnsi="Bookman Old Style"/>
          <w:b/>
          <w:bCs/>
          <w:sz w:val="22"/>
          <w:szCs w:val="22"/>
        </w:rPr>
        <w:t>omuni per il contrasto povertà alimentare a scuola (</w:t>
      </w:r>
      <w:r w:rsidR="00C31AE0" w:rsidRPr="00521A02">
        <w:rPr>
          <w:rFonts w:ascii="Bookman Old Style" w:hAnsi="Bookman Old Style"/>
          <w:b/>
          <w:bCs/>
          <w:sz w:val="22"/>
          <w:szCs w:val="22"/>
        </w:rPr>
        <w:t>A</w:t>
      </w:r>
      <w:r w:rsidRPr="00521A02">
        <w:rPr>
          <w:rFonts w:ascii="Bookman Old Style" w:hAnsi="Bookman Old Style"/>
          <w:b/>
          <w:bCs/>
          <w:sz w:val="22"/>
          <w:szCs w:val="22"/>
        </w:rPr>
        <w:t>rt. 1</w:t>
      </w:r>
      <w:r w:rsidR="00A639BE" w:rsidRPr="00521A02">
        <w:rPr>
          <w:rFonts w:ascii="Bookman Old Style" w:hAnsi="Bookman Old Style"/>
          <w:b/>
          <w:bCs/>
          <w:sz w:val="22"/>
          <w:szCs w:val="22"/>
        </w:rPr>
        <w:t>, comm</w:t>
      </w:r>
      <w:r w:rsidR="002C0F33" w:rsidRPr="00521A02">
        <w:rPr>
          <w:rFonts w:ascii="Bookman Old Style" w:hAnsi="Bookman Old Style"/>
          <w:b/>
          <w:bCs/>
          <w:sz w:val="22"/>
          <w:szCs w:val="22"/>
        </w:rPr>
        <w:t>i</w:t>
      </w:r>
      <w:r w:rsidR="00A639BE" w:rsidRPr="00521A02">
        <w:rPr>
          <w:rFonts w:ascii="Bookman Old Style" w:hAnsi="Bookman Old Style"/>
          <w:b/>
          <w:bCs/>
          <w:sz w:val="22"/>
          <w:szCs w:val="22"/>
        </w:rPr>
        <w:t xml:space="preserve"> </w:t>
      </w:r>
      <w:r w:rsidR="00CE4B03" w:rsidRPr="00521A02">
        <w:rPr>
          <w:rFonts w:ascii="Bookman Old Style" w:hAnsi="Bookman Old Style"/>
          <w:b/>
          <w:bCs/>
          <w:sz w:val="22"/>
          <w:szCs w:val="22"/>
        </w:rPr>
        <w:t>105</w:t>
      </w:r>
      <w:r w:rsidR="002C0F33" w:rsidRPr="00521A02">
        <w:rPr>
          <w:rFonts w:ascii="Bookman Old Style" w:hAnsi="Bookman Old Style"/>
          <w:b/>
          <w:bCs/>
          <w:sz w:val="22"/>
          <w:szCs w:val="22"/>
        </w:rPr>
        <w:t>-</w:t>
      </w:r>
      <w:r w:rsidR="003E6211" w:rsidRPr="00521A02">
        <w:rPr>
          <w:rFonts w:ascii="Bookman Old Style" w:hAnsi="Bookman Old Style"/>
          <w:b/>
          <w:bCs/>
          <w:sz w:val="22"/>
          <w:szCs w:val="22"/>
        </w:rPr>
        <w:t>106</w:t>
      </w:r>
      <w:r w:rsidRPr="00521A02">
        <w:rPr>
          <w:rFonts w:ascii="Bookman Old Style" w:hAnsi="Bookman Old Style"/>
          <w:b/>
          <w:bCs/>
          <w:sz w:val="22"/>
          <w:szCs w:val="22"/>
        </w:rPr>
        <w:t>)</w:t>
      </w:r>
      <w:bookmarkEnd w:id="37"/>
    </w:p>
    <w:p w14:paraId="0315ABD3" w14:textId="630508C0" w:rsidR="000329B4" w:rsidRPr="00521A02" w:rsidRDefault="003975C9" w:rsidP="00063EB5">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La norma</w:t>
      </w:r>
      <w:r w:rsidR="006D3C55" w:rsidRPr="00521A02">
        <w:rPr>
          <w:rFonts w:ascii="Bookman Old Style" w:hAnsi="Bookman Old Style" w:cs="CIDFont+F2"/>
          <w:kern w:val="0"/>
        </w:rPr>
        <w:t xml:space="preserve">, </w:t>
      </w:r>
      <w:r w:rsidR="006D3C55" w:rsidRPr="00521A02">
        <w:rPr>
          <w:rFonts w:ascii="Bookman Old Style" w:hAnsi="Bookman Old Style"/>
        </w:rPr>
        <w:t xml:space="preserve">approvata in </w:t>
      </w:r>
      <w:r w:rsidR="004C1861" w:rsidRPr="00521A02">
        <w:rPr>
          <w:rFonts w:ascii="Bookman Old Style" w:hAnsi="Bookman Old Style"/>
        </w:rPr>
        <w:t>C</w:t>
      </w:r>
      <w:r w:rsidR="006D3C55" w:rsidRPr="00521A02">
        <w:rPr>
          <w:rFonts w:ascii="Bookman Old Style" w:hAnsi="Bookman Old Style"/>
        </w:rPr>
        <w:t xml:space="preserve">ommissione </w:t>
      </w:r>
      <w:r w:rsidR="00DE10D0" w:rsidRPr="00521A02">
        <w:rPr>
          <w:rFonts w:ascii="Bookman Old Style" w:hAnsi="Bookman Old Style"/>
        </w:rPr>
        <w:t>B</w:t>
      </w:r>
      <w:r w:rsidR="006D3C55" w:rsidRPr="00521A02">
        <w:rPr>
          <w:rFonts w:ascii="Bookman Old Style" w:hAnsi="Bookman Old Style"/>
        </w:rPr>
        <w:t>ilancio Camera,</w:t>
      </w:r>
      <w:r w:rsidRPr="00521A02">
        <w:rPr>
          <w:rFonts w:ascii="Bookman Old Style" w:hAnsi="Bookman Old Style" w:cs="CIDFont+F2"/>
          <w:kern w:val="0"/>
        </w:rPr>
        <w:t xml:space="preserve"> istituisce </w:t>
      </w:r>
      <w:r w:rsidR="009C4409" w:rsidRPr="00521A02">
        <w:rPr>
          <w:rFonts w:ascii="Bookman Old Style" w:hAnsi="Bookman Old Style" w:cs="CIDFont+F2"/>
          <w:kern w:val="0"/>
        </w:rPr>
        <w:t xml:space="preserve">un </w:t>
      </w:r>
      <w:r w:rsidRPr="00521A02">
        <w:rPr>
          <w:rFonts w:ascii="Bookman Old Style" w:hAnsi="Bookman Old Style" w:cs="CIDFont+F2"/>
          <w:kern w:val="0"/>
        </w:rPr>
        <w:t xml:space="preserve">fondo </w:t>
      </w:r>
      <w:r w:rsidR="009C4409" w:rsidRPr="00521A02">
        <w:rPr>
          <w:rFonts w:ascii="Bookman Old Style" w:hAnsi="Bookman Old Style" w:cs="CIDFont+F2"/>
          <w:kern w:val="0"/>
        </w:rPr>
        <w:t xml:space="preserve">con una dotazione di 0,5 milioni di euro per ciascuno degli anni 2025 e 2026 e di 1 milione di euro annui a decorrere dall'anno 2027 </w:t>
      </w:r>
      <w:r w:rsidRPr="00521A02">
        <w:rPr>
          <w:rFonts w:ascii="Bookman Old Style" w:hAnsi="Bookman Old Style" w:cs="CIDFont+F2"/>
          <w:kern w:val="0"/>
        </w:rPr>
        <w:t>per il contrasto della povertà alimentare a scuola</w:t>
      </w:r>
      <w:r w:rsidR="00A766DA" w:rsidRPr="00521A02">
        <w:rPr>
          <w:rFonts w:ascii="Bookman Old Style" w:hAnsi="Bookman Old Style" w:cs="CIDFont+F2"/>
          <w:kern w:val="0"/>
        </w:rPr>
        <w:t>. Il fondo è</w:t>
      </w:r>
      <w:r w:rsidRPr="00521A02">
        <w:rPr>
          <w:rFonts w:ascii="Bookman Old Style" w:hAnsi="Bookman Old Style" w:cs="CIDFont+F2"/>
          <w:kern w:val="0"/>
        </w:rPr>
        <w:t xml:space="preserve"> destinato ai Comuni per erogare contributi a favore dei nuclei familiari che a causa di </w:t>
      </w:r>
      <w:r w:rsidRPr="00521A02">
        <w:rPr>
          <w:rFonts w:ascii="Bookman Old Style" w:hAnsi="Bookman Old Style" w:cs="CIDFont+F2"/>
          <w:kern w:val="0"/>
        </w:rPr>
        <w:lastRenderedPageBreak/>
        <w:t xml:space="preserve">condizioni oggettive di impoverimento durante l'anno scolastico non riescano a provvedere al pagamento delle rette previste per la fruizione del servizio di ristorazione scolastica nella scuola primaria. </w:t>
      </w:r>
      <w:r w:rsidR="00A766DA" w:rsidRPr="00521A02">
        <w:rPr>
          <w:rFonts w:ascii="Bookman Old Style" w:hAnsi="Bookman Old Style" w:cs="CIDFont+F2"/>
          <w:kern w:val="0"/>
        </w:rPr>
        <w:t>C</w:t>
      </w:r>
      <w:r w:rsidRPr="00521A02">
        <w:rPr>
          <w:rFonts w:ascii="Bookman Old Style" w:hAnsi="Bookman Old Style" w:cs="CIDFont+F2"/>
          <w:kern w:val="0"/>
        </w:rPr>
        <w:t>on decreto del Ministero del lavoro, di concerto con MIM e MEF vengono stabilite le modalità e i criteri di riparto del fondo.</w:t>
      </w:r>
    </w:p>
    <w:p w14:paraId="01C6A179" w14:textId="77777777" w:rsidR="007136E5" w:rsidRPr="00521A02" w:rsidRDefault="007136E5" w:rsidP="00063EB5">
      <w:pPr>
        <w:autoSpaceDE w:val="0"/>
        <w:autoSpaceDN w:val="0"/>
        <w:adjustRightInd w:val="0"/>
        <w:spacing w:after="80"/>
        <w:jc w:val="both"/>
        <w:rPr>
          <w:rFonts w:ascii="Bookman Old Style" w:hAnsi="Bookman Old Style" w:cs="CIDFont+F2"/>
          <w:kern w:val="0"/>
        </w:rPr>
      </w:pPr>
    </w:p>
    <w:p w14:paraId="79306F7E" w14:textId="250674A0" w:rsidR="001B2AE8" w:rsidRPr="00521A02" w:rsidRDefault="001B2AE8" w:rsidP="00063EB5">
      <w:pPr>
        <w:pStyle w:val="Titolo2"/>
        <w:numPr>
          <w:ilvl w:val="0"/>
          <w:numId w:val="16"/>
        </w:numPr>
        <w:spacing w:before="0"/>
        <w:rPr>
          <w:rFonts w:ascii="Bookman Old Style" w:hAnsi="Bookman Old Style"/>
          <w:b/>
          <w:bCs/>
          <w:sz w:val="22"/>
          <w:szCs w:val="22"/>
        </w:rPr>
      </w:pPr>
      <w:bookmarkStart w:id="38" w:name="_Toc185343528"/>
      <w:bookmarkStart w:id="39" w:name="_Toc185344941"/>
      <w:bookmarkStart w:id="40" w:name="_Toc185605232"/>
      <w:r w:rsidRPr="00521A02">
        <w:rPr>
          <w:rFonts w:ascii="Bookman Old Style" w:hAnsi="Bookman Old Style"/>
          <w:b/>
          <w:bCs/>
          <w:sz w:val="22"/>
          <w:szCs w:val="22"/>
        </w:rPr>
        <w:t>Fondo morosità incolpevole</w:t>
      </w:r>
      <w:bookmarkEnd w:id="38"/>
      <w:bookmarkEnd w:id="39"/>
      <w:r w:rsidRPr="00521A02">
        <w:rPr>
          <w:rFonts w:ascii="Bookman Old Style" w:hAnsi="Bookman Old Style"/>
          <w:b/>
          <w:bCs/>
          <w:sz w:val="22"/>
          <w:szCs w:val="22"/>
        </w:rPr>
        <w:t xml:space="preserve"> (Art. 1</w:t>
      </w:r>
      <w:r w:rsidR="00573689" w:rsidRPr="00521A02">
        <w:rPr>
          <w:rFonts w:ascii="Bookman Old Style" w:hAnsi="Bookman Old Style"/>
          <w:b/>
          <w:bCs/>
          <w:sz w:val="22"/>
          <w:szCs w:val="22"/>
        </w:rPr>
        <w:t>, commi 117-</w:t>
      </w:r>
      <w:r w:rsidR="00D729A9" w:rsidRPr="00521A02">
        <w:rPr>
          <w:rFonts w:ascii="Bookman Old Style" w:hAnsi="Bookman Old Style"/>
          <w:b/>
          <w:bCs/>
          <w:sz w:val="22"/>
          <w:szCs w:val="22"/>
        </w:rPr>
        <w:t>119</w:t>
      </w:r>
      <w:r w:rsidRPr="00521A02">
        <w:rPr>
          <w:rFonts w:ascii="Bookman Old Style" w:hAnsi="Bookman Old Style"/>
          <w:b/>
          <w:bCs/>
          <w:sz w:val="22"/>
          <w:szCs w:val="22"/>
        </w:rPr>
        <w:t>)</w:t>
      </w:r>
      <w:bookmarkEnd w:id="40"/>
    </w:p>
    <w:p w14:paraId="52322CBC" w14:textId="118CF3FA" w:rsidR="001B2AE8" w:rsidRPr="00521A02" w:rsidRDefault="001B2AE8" w:rsidP="00063EB5">
      <w:pPr>
        <w:autoSpaceDE w:val="0"/>
        <w:autoSpaceDN w:val="0"/>
        <w:adjustRightInd w:val="0"/>
        <w:spacing w:after="80"/>
        <w:jc w:val="both"/>
        <w:rPr>
          <w:rFonts w:ascii="Bookman Old Style" w:hAnsi="Bookman Old Style" w:cs="CIDFont+F2"/>
          <w:kern w:val="0"/>
        </w:rPr>
      </w:pPr>
      <w:bookmarkStart w:id="41" w:name="_Hlk185415868"/>
      <w:r w:rsidRPr="00521A02">
        <w:rPr>
          <w:rFonts w:ascii="Bookman Old Style" w:hAnsi="Bookman Old Style" w:cs="CIDFont+F2"/>
          <w:kern w:val="0"/>
        </w:rPr>
        <w:t>La norma</w:t>
      </w:r>
      <w:r w:rsidR="00F96F11" w:rsidRPr="00521A02">
        <w:rPr>
          <w:rFonts w:ascii="Bookman Old Style" w:hAnsi="Bookman Old Style" w:cs="CIDFont+F2"/>
          <w:kern w:val="0"/>
        </w:rPr>
        <w:t xml:space="preserve">, </w:t>
      </w:r>
      <w:r w:rsidR="00F96F11" w:rsidRPr="00521A02">
        <w:rPr>
          <w:rFonts w:ascii="Bookman Old Style" w:hAnsi="Bookman Old Style"/>
        </w:rPr>
        <w:t xml:space="preserve">approvata in </w:t>
      </w:r>
      <w:r w:rsidR="002A06D3" w:rsidRPr="00521A02">
        <w:rPr>
          <w:rFonts w:ascii="Bookman Old Style" w:hAnsi="Bookman Old Style"/>
        </w:rPr>
        <w:t>C</w:t>
      </w:r>
      <w:r w:rsidR="00F96F11" w:rsidRPr="00521A02">
        <w:rPr>
          <w:rFonts w:ascii="Bookman Old Style" w:hAnsi="Bookman Old Style"/>
        </w:rPr>
        <w:t xml:space="preserve">ommissione </w:t>
      </w:r>
      <w:r w:rsidR="0076061F" w:rsidRPr="00521A02">
        <w:rPr>
          <w:rFonts w:ascii="Bookman Old Style" w:hAnsi="Bookman Old Style"/>
        </w:rPr>
        <w:t>B</w:t>
      </w:r>
      <w:r w:rsidR="00F96F11" w:rsidRPr="00521A02">
        <w:rPr>
          <w:rFonts w:ascii="Bookman Old Style" w:hAnsi="Bookman Old Style"/>
        </w:rPr>
        <w:t>ilancio Camera</w:t>
      </w:r>
      <w:bookmarkEnd w:id="41"/>
      <w:r w:rsidR="00F96F11" w:rsidRPr="00521A02">
        <w:rPr>
          <w:rFonts w:ascii="Bookman Old Style" w:hAnsi="Bookman Old Style"/>
        </w:rPr>
        <w:t xml:space="preserve">, </w:t>
      </w:r>
      <w:r w:rsidR="006A1458" w:rsidRPr="00521A02">
        <w:rPr>
          <w:rFonts w:ascii="Bookman Old Style" w:hAnsi="Bookman Old Style" w:cs="CIDFont+F2"/>
          <w:kern w:val="0"/>
        </w:rPr>
        <w:t>rifinanzia</w:t>
      </w:r>
      <w:r w:rsidRPr="00521A02">
        <w:rPr>
          <w:rFonts w:ascii="Bookman Old Style" w:hAnsi="Bookman Old Style" w:cs="CIDFont+F2"/>
          <w:kern w:val="0"/>
        </w:rPr>
        <w:t xml:space="preserve"> il Fondo per la morosità incolpevole di 10 milioni per il 2025 e di 20 milioni per il 2026. Entro 30 giorni si provvede ad individuare i criteri e le modalità di utilizzo delle risorse, pena il definanziamento, per l'erogazione entro e non oltre il 31 luglio di ogni anno. Oltre ai requisiti già stabiliti dalla legge, è necessario che permanga lo stato di bisogno connesso alla perdita totale o a una consistente riduzione della capacità reddituale del nucleo familiare.</w:t>
      </w:r>
    </w:p>
    <w:p w14:paraId="235CCB86" w14:textId="77777777" w:rsidR="0051334E" w:rsidRDefault="0051334E" w:rsidP="00063EB5">
      <w:pPr>
        <w:spacing w:after="80"/>
        <w:rPr>
          <w:rFonts w:ascii="Bookman Old Style" w:hAnsi="Bookman Old Style"/>
        </w:rPr>
      </w:pPr>
      <w:bookmarkStart w:id="42" w:name="_Toc185413380"/>
      <w:bookmarkStart w:id="43" w:name="_Toc185416113"/>
    </w:p>
    <w:p w14:paraId="5DD98824" w14:textId="7C5A2565" w:rsidR="007707B9" w:rsidRPr="00521A02" w:rsidRDefault="007707B9" w:rsidP="00063EB5">
      <w:pPr>
        <w:pStyle w:val="Titolo2"/>
        <w:numPr>
          <w:ilvl w:val="0"/>
          <w:numId w:val="6"/>
        </w:numPr>
        <w:spacing w:before="0"/>
        <w:rPr>
          <w:rFonts w:ascii="Bookman Old Style" w:hAnsi="Bookman Old Style"/>
          <w:b/>
          <w:bCs/>
          <w:sz w:val="22"/>
          <w:szCs w:val="22"/>
        </w:rPr>
      </w:pPr>
      <w:bookmarkStart w:id="44" w:name="_Toc185605233"/>
      <w:r w:rsidRPr="00521A02">
        <w:rPr>
          <w:rFonts w:ascii="Bookman Old Style" w:hAnsi="Bookman Old Style"/>
          <w:b/>
          <w:bCs/>
          <w:sz w:val="22"/>
          <w:szCs w:val="22"/>
        </w:rPr>
        <w:t xml:space="preserve">Fondo </w:t>
      </w:r>
      <w:r>
        <w:rPr>
          <w:rFonts w:ascii="Bookman Old Style" w:hAnsi="Bookman Old Style"/>
          <w:b/>
          <w:bCs/>
          <w:sz w:val="22"/>
          <w:szCs w:val="22"/>
        </w:rPr>
        <w:t xml:space="preserve">attività per </w:t>
      </w:r>
      <w:r w:rsidRPr="00521A02">
        <w:rPr>
          <w:rFonts w:ascii="Bookman Old Style" w:hAnsi="Bookman Old Style"/>
          <w:b/>
          <w:bCs/>
          <w:sz w:val="22"/>
          <w:szCs w:val="22"/>
        </w:rPr>
        <w:t xml:space="preserve">minori </w:t>
      </w:r>
      <w:r w:rsidR="005E6057">
        <w:rPr>
          <w:rFonts w:ascii="Bookman Old Style" w:hAnsi="Bookman Old Style"/>
          <w:b/>
          <w:bCs/>
          <w:sz w:val="22"/>
          <w:szCs w:val="22"/>
        </w:rPr>
        <w:t xml:space="preserve">in rieducazione </w:t>
      </w:r>
      <w:r w:rsidRPr="00521A02">
        <w:rPr>
          <w:rFonts w:ascii="Bookman Old Style" w:hAnsi="Bookman Old Style"/>
          <w:b/>
          <w:bCs/>
          <w:sz w:val="22"/>
          <w:szCs w:val="22"/>
        </w:rPr>
        <w:t>(Art. 1, commi 766-768)</w:t>
      </w:r>
      <w:bookmarkEnd w:id="44"/>
    </w:p>
    <w:p w14:paraId="7D48C15D" w14:textId="77777777" w:rsidR="007707B9" w:rsidRPr="00521A02" w:rsidRDefault="007707B9" w:rsidP="00063EB5">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 xml:space="preserve">La norma, </w:t>
      </w:r>
      <w:r w:rsidRPr="00521A02">
        <w:rPr>
          <w:rFonts w:ascii="Bookman Old Style" w:hAnsi="Bookman Old Style"/>
        </w:rPr>
        <w:t>approvata in Commissione Bilancio Camera,</w:t>
      </w:r>
      <w:r w:rsidRPr="00521A02">
        <w:rPr>
          <w:rFonts w:ascii="Bookman Old Style" w:hAnsi="Bookman Old Style" w:cs="CIDFont+F2"/>
          <w:kern w:val="0"/>
        </w:rPr>
        <w:t xml:space="preserve"> prevede l'istituzione di un fondo per potenziare le attività a favore dei minori coinvolti in percorsi di rieducazione, con una dotazione di 0,5 milioni di euro per il 2025, 1 milione per il 2026 e 2 milioni per il 2027. Con decreto del Ministero dell’Interno, da adottare previo parere della Conferenza Stato Città, verranno definite le modalità di utilizzo del fondo.</w:t>
      </w:r>
    </w:p>
    <w:p w14:paraId="6DE64B02" w14:textId="77777777" w:rsidR="007707B9" w:rsidRPr="00521A02" w:rsidRDefault="007707B9" w:rsidP="00063EB5">
      <w:pPr>
        <w:spacing w:after="80"/>
        <w:rPr>
          <w:rFonts w:ascii="Bookman Old Style" w:hAnsi="Bookman Old Style"/>
        </w:rPr>
      </w:pPr>
    </w:p>
    <w:p w14:paraId="4CF62287" w14:textId="084B0D2D" w:rsidR="0051334E" w:rsidRPr="00521A02" w:rsidRDefault="00E725BA" w:rsidP="00063EB5">
      <w:pPr>
        <w:pStyle w:val="Paragrafoelenco"/>
        <w:numPr>
          <w:ilvl w:val="0"/>
          <w:numId w:val="17"/>
        </w:numPr>
        <w:spacing w:after="80"/>
        <w:rPr>
          <w:rFonts w:ascii="Bookman Old Style" w:eastAsiaTheme="majorEastAsia" w:hAnsi="Bookman Old Style" w:cstheme="majorBidi"/>
          <w:b/>
          <w:bCs/>
          <w:color w:val="0F4761" w:themeColor="accent1" w:themeShade="BF"/>
        </w:rPr>
      </w:pPr>
      <w:r w:rsidRPr="00521A02">
        <w:rPr>
          <w:rFonts w:ascii="Bookman Old Style" w:eastAsiaTheme="majorEastAsia" w:hAnsi="Bookman Old Style" w:cstheme="majorBidi"/>
          <w:b/>
          <w:bCs/>
          <w:color w:val="0F4761" w:themeColor="accent1" w:themeShade="BF"/>
        </w:rPr>
        <w:t>Fondi in favore degli enti locali e alla realizzazione di interventi in materia sociale, socio-sanitaria assistenziale</w:t>
      </w:r>
      <w:bookmarkEnd w:id="42"/>
      <w:bookmarkEnd w:id="43"/>
      <w:r w:rsidR="00BA515F" w:rsidRPr="00521A02">
        <w:rPr>
          <w:rFonts w:ascii="Bookman Old Style" w:eastAsiaTheme="majorEastAsia" w:hAnsi="Bookman Old Style" w:cstheme="majorBidi"/>
          <w:b/>
          <w:bCs/>
          <w:color w:val="0F4761" w:themeColor="accent1" w:themeShade="BF"/>
        </w:rPr>
        <w:t xml:space="preserve"> (</w:t>
      </w:r>
      <w:r w:rsidR="008149C0" w:rsidRPr="00521A02">
        <w:rPr>
          <w:rFonts w:ascii="Bookman Old Style" w:eastAsiaTheme="majorEastAsia" w:hAnsi="Bookman Old Style" w:cstheme="majorBidi"/>
          <w:b/>
          <w:bCs/>
          <w:color w:val="0F4761" w:themeColor="accent1" w:themeShade="BF"/>
        </w:rPr>
        <w:t>Art. 1</w:t>
      </w:r>
      <w:r w:rsidR="00CE647C" w:rsidRPr="00521A02">
        <w:rPr>
          <w:rFonts w:ascii="Bookman Old Style" w:eastAsiaTheme="majorEastAsia" w:hAnsi="Bookman Old Style" w:cstheme="majorBidi"/>
          <w:b/>
          <w:bCs/>
          <w:color w:val="0F4761" w:themeColor="accent1" w:themeShade="BF"/>
        </w:rPr>
        <w:t>, comm</w:t>
      </w:r>
      <w:r w:rsidR="003B3DF2" w:rsidRPr="00521A02">
        <w:rPr>
          <w:rFonts w:ascii="Bookman Old Style" w:eastAsiaTheme="majorEastAsia" w:hAnsi="Bookman Old Style" w:cstheme="majorBidi"/>
          <w:b/>
          <w:bCs/>
          <w:color w:val="0F4761" w:themeColor="accent1" w:themeShade="BF"/>
        </w:rPr>
        <w:t>a 898</w:t>
      </w:r>
      <w:r w:rsidR="006811F5" w:rsidRPr="00521A02">
        <w:rPr>
          <w:rFonts w:ascii="Bookman Old Style" w:eastAsiaTheme="majorEastAsia" w:hAnsi="Bookman Old Style" w:cstheme="majorBidi"/>
          <w:b/>
          <w:bCs/>
          <w:color w:val="0F4761" w:themeColor="accent1" w:themeShade="BF"/>
        </w:rPr>
        <w:t xml:space="preserve"> e 890</w:t>
      </w:r>
      <w:r w:rsidR="008149C0" w:rsidRPr="00521A02">
        <w:rPr>
          <w:rFonts w:ascii="Bookman Old Style" w:eastAsiaTheme="majorEastAsia" w:hAnsi="Bookman Old Style" w:cstheme="majorBidi"/>
          <w:b/>
          <w:bCs/>
          <w:color w:val="0F4761" w:themeColor="accent1" w:themeShade="BF"/>
        </w:rPr>
        <w:t>)</w:t>
      </w:r>
    </w:p>
    <w:p w14:paraId="620CBFB1" w14:textId="16599759" w:rsidR="0051334E" w:rsidRPr="00521A02" w:rsidRDefault="00E725BA" w:rsidP="00063EB5">
      <w:pPr>
        <w:spacing w:after="80"/>
        <w:jc w:val="both"/>
        <w:rPr>
          <w:rFonts w:ascii="Bookman Old Style" w:hAnsi="Bookman Old Style"/>
        </w:rPr>
      </w:pPr>
      <w:r w:rsidRPr="00521A02">
        <w:rPr>
          <w:rFonts w:ascii="Bookman Old Style" w:hAnsi="Bookman Old Style"/>
        </w:rPr>
        <w:t xml:space="preserve">La norma </w:t>
      </w:r>
      <w:r w:rsidR="000C6B5A" w:rsidRPr="00521A02">
        <w:rPr>
          <w:rFonts w:ascii="Bookman Old Style" w:hAnsi="Bookman Old Style"/>
        </w:rPr>
        <w:t xml:space="preserve">proposta dai relatori e approvata in </w:t>
      </w:r>
      <w:r w:rsidR="002A06D3" w:rsidRPr="00521A02">
        <w:rPr>
          <w:rFonts w:ascii="Bookman Old Style" w:hAnsi="Bookman Old Style"/>
        </w:rPr>
        <w:t>C</w:t>
      </w:r>
      <w:r w:rsidR="000C6B5A" w:rsidRPr="00521A02">
        <w:rPr>
          <w:rFonts w:ascii="Bookman Old Style" w:hAnsi="Bookman Old Style"/>
        </w:rPr>
        <w:t>ommission</w:t>
      </w:r>
      <w:r w:rsidR="00621ACB" w:rsidRPr="00521A02">
        <w:rPr>
          <w:rFonts w:ascii="Bookman Old Style" w:hAnsi="Bookman Old Style"/>
        </w:rPr>
        <w:t>e</w:t>
      </w:r>
      <w:r w:rsidR="000C6B5A" w:rsidRPr="00521A02">
        <w:rPr>
          <w:rFonts w:ascii="Bookman Old Style" w:hAnsi="Bookman Old Style"/>
        </w:rPr>
        <w:t xml:space="preserve"> </w:t>
      </w:r>
      <w:r w:rsidR="0076061F" w:rsidRPr="00521A02">
        <w:rPr>
          <w:rFonts w:ascii="Bookman Old Style" w:hAnsi="Bookman Old Style"/>
        </w:rPr>
        <w:t>B</w:t>
      </w:r>
      <w:r w:rsidR="000C6B5A" w:rsidRPr="00521A02">
        <w:rPr>
          <w:rFonts w:ascii="Bookman Old Style" w:hAnsi="Bookman Old Style"/>
        </w:rPr>
        <w:t>ilancio Camera istituisce nello stato</w:t>
      </w:r>
      <w:r w:rsidR="0051334E" w:rsidRPr="00521A02">
        <w:rPr>
          <w:rFonts w:ascii="Bookman Old Style" w:hAnsi="Bookman Old Style"/>
        </w:rPr>
        <w:t xml:space="preserve"> di previsione del </w:t>
      </w:r>
      <w:r w:rsidR="00621ACB" w:rsidRPr="00521A02">
        <w:rPr>
          <w:rFonts w:ascii="Bookman Old Style" w:hAnsi="Bookman Old Style"/>
        </w:rPr>
        <w:t>MEF</w:t>
      </w:r>
      <w:r w:rsidR="0051334E" w:rsidRPr="00521A02">
        <w:rPr>
          <w:rFonts w:ascii="Bookman Old Style" w:hAnsi="Bookman Old Style"/>
        </w:rPr>
        <w:t xml:space="preserve"> un fondo di parte corrente con una dotazione di </w:t>
      </w:r>
      <w:r w:rsidR="00E9535F" w:rsidRPr="00521A02">
        <w:rPr>
          <w:rFonts w:ascii="Bookman Old Style" w:hAnsi="Bookman Old Style"/>
        </w:rPr>
        <w:t>31.967.000</w:t>
      </w:r>
      <w:r w:rsidR="0051334E" w:rsidRPr="00521A02">
        <w:rPr>
          <w:rFonts w:ascii="Bookman Old Style" w:hAnsi="Bookman Old Style"/>
        </w:rPr>
        <w:t xml:space="preserve"> per l'anno 2025, di </w:t>
      </w:r>
      <w:r w:rsidR="00E9535F" w:rsidRPr="00521A02">
        <w:rPr>
          <w:rFonts w:ascii="Bookman Old Style" w:hAnsi="Bookman Old Style"/>
        </w:rPr>
        <w:t>38.700.000</w:t>
      </w:r>
      <w:r w:rsidR="0051334E" w:rsidRPr="00521A02">
        <w:rPr>
          <w:rFonts w:ascii="Bookman Old Style" w:hAnsi="Bookman Old Style"/>
        </w:rPr>
        <w:t xml:space="preserve"> euro per l'anno 2026 e di </w:t>
      </w:r>
      <w:r w:rsidR="00E9535F" w:rsidRPr="00521A02">
        <w:rPr>
          <w:rFonts w:ascii="Bookman Old Style" w:hAnsi="Bookman Old Style"/>
        </w:rPr>
        <w:t>31.380.000</w:t>
      </w:r>
      <w:r w:rsidR="0051334E" w:rsidRPr="00521A02">
        <w:rPr>
          <w:rFonts w:ascii="Bookman Old Style" w:hAnsi="Bookman Old Style"/>
        </w:rPr>
        <w:t xml:space="preserve"> euro per l'anno 2027, finalizzato all'attuazione di misure in favore degli enti locali e alla realizzazione di interventi in materia sociale, socio-sanitaria assistenziale, di infrastrutture, sport e cultura da parte di associazioni, fondazioni ed enti operanti sul territorio, nonché di recupero e conservazione del patrimonio storico, artistico e architettonico</w:t>
      </w:r>
      <w:r w:rsidR="00886101" w:rsidRPr="00521A02">
        <w:rPr>
          <w:rFonts w:ascii="Bookman Old Style" w:hAnsi="Bookman Old Style"/>
        </w:rPr>
        <w:t xml:space="preserve"> nonch</w:t>
      </w:r>
      <w:r w:rsidR="006811F5" w:rsidRPr="00521A02">
        <w:rPr>
          <w:rFonts w:ascii="Bookman Old Style" w:hAnsi="Bookman Old Style"/>
        </w:rPr>
        <w:t>é</w:t>
      </w:r>
      <w:r w:rsidR="00886101" w:rsidRPr="00521A02">
        <w:rPr>
          <w:rFonts w:ascii="Bookman Old Style" w:hAnsi="Bookman Old Style"/>
        </w:rPr>
        <w:t xml:space="preserve"> </w:t>
      </w:r>
      <w:r w:rsidR="008153A3" w:rsidRPr="00521A02">
        <w:rPr>
          <w:rFonts w:ascii="Bookman Old Style" w:hAnsi="Bookman Old Style"/>
        </w:rPr>
        <w:t xml:space="preserve">all’attuazione di </w:t>
      </w:r>
      <w:r w:rsidR="00886101" w:rsidRPr="00521A02">
        <w:rPr>
          <w:rFonts w:ascii="Bookman Old Style" w:hAnsi="Bookman Old Style"/>
        </w:rPr>
        <w:t>investimenti in materia di infrastrutture stradali, sportive, scolastiche, ospedaliere, di mobilità, e di riqualificazione ambientale</w:t>
      </w:r>
      <w:r w:rsidR="00762DDA" w:rsidRPr="00521A02">
        <w:rPr>
          <w:rFonts w:ascii="Bookman Old Style" w:hAnsi="Bookman Old Style"/>
        </w:rPr>
        <w:t>.</w:t>
      </w:r>
    </w:p>
    <w:p w14:paraId="4E5DDCD5" w14:textId="2F9C10F9" w:rsidR="0051334E" w:rsidRPr="00521A02" w:rsidRDefault="0051334E" w:rsidP="00063EB5">
      <w:pPr>
        <w:spacing w:after="80"/>
        <w:jc w:val="both"/>
        <w:rPr>
          <w:rFonts w:ascii="Bookman Old Style" w:hAnsi="Bookman Old Style"/>
        </w:rPr>
      </w:pPr>
      <w:r w:rsidRPr="00521A02">
        <w:rPr>
          <w:rFonts w:ascii="Bookman Old Style" w:hAnsi="Bookman Old Style"/>
        </w:rPr>
        <w:t>All</w:t>
      </w:r>
      <w:r w:rsidR="00762DDA" w:rsidRPr="00521A02">
        <w:rPr>
          <w:rFonts w:ascii="Bookman Old Style" w:hAnsi="Bookman Old Style"/>
        </w:rPr>
        <w:t>’assegnazione</w:t>
      </w:r>
      <w:r w:rsidRPr="00521A02">
        <w:rPr>
          <w:rFonts w:ascii="Bookman Old Style" w:hAnsi="Bookman Old Style"/>
        </w:rPr>
        <w:t xml:space="preserve"> delle risorse </w:t>
      </w:r>
      <w:r w:rsidR="003A5B01" w:rsidRPr="00521A02">
        <w:rPr>
          <w:rFonts w:ascii="Bookman Old Style" w:hAnsi="Bookman Old Style"/>
        </w:rPr>
        <w:t xml:space="preserve">e alla individuazione dei criteri </w:t>
      </w:r>
      <w:r w:rsidRPr="00521A02">
        <w:rPr>
          <w:rFonts w:ascii="Bookman Old Style" w:hAnsi="Bookman Old Style"/>
        </w:rPr>
        <w:t xml:space="preserve">si provvede con uno o più decreti del Presidente del </w:t>
      </w:r>
      <w:r w:rsidR="001C7960" w:rsidRPr="00521A02">
        <w:rPr>
          <w:rFonts w:ascii="Bookman Old Style" w:hAnsi="Bookman Old Style"/>
        </w:rPr>
        <w:t>Consiglio dei ministri</w:t>
      </w:r>
      <w:r w:rsidRPr="00521A02">
        <w:rPr>
          <w:rFonts w:ascii="Bookman Old Style" w:hAnsi="Bookman Old Style"/>
        </w:rPr>
        <w:t>, da adottare</w:t>
      </w:r>
      <w:r w:rsidR="00762DDA" w:rsidRPr="00521A02">
        <w:rPr>
          <w:rFonts w:ascii="Bookman Old Style" w:hAnsi="Bookman Old Style"/>
        </w:rPr>
        <w:t xml:space="preserve"> entro 30 giorni dall</w:t>
      </w:r>
      <w:r w:rsidR="003A5B01" w:rsidRPr="00521A02">
        <w:rPr>
          <w:rFonts w:ascii="Bookman Old Style" w:hAnsi="Bookman Old Style"/>
        </w:rPr>
        <w:t>a</w:t>
      </w:r>
      <w:r w:rsidR="00762DDA" w:rsidRPr="00521A02">
        <w:rPr>
          <w:rFonts w:ascii="Bookman Old Style" w:hAnsi="Bookman Old Style"/>
        </w:rPr>
        <w:t xml:space="preserve"> data di entrata in vigore della presente legge</w:t>
      </w:r>
      <w:r w:rsidRPr="00521A02">
        <w:rPr>
          <w:rFonts w:ascii="Bookman Old Style" w:hAnsi="Bookman Old Style"/>
        </w:rPr>
        <w:t>, di concerto con il Ministro dell'economia e delle finanze.</w:t>
      </w:r>
    </w:p>
    <w:p w14:paraId="28C373E9" w14:textId="06C1C613" w:rsidR="00671FCB" w:rsidRPr="00521A02" w:rsidRDefault="000530B5" w:rsidP="005674E5">
      <w:pPr>
        <w:pStyle w:val="Titolo1"/>
        <w:spacing w:after="240"/>
        <w:rPr>
          <w:rFonts w:ascii="Bookman Old Style" w:hAnsi="Bookman Old Style"/>
          <w:b/>
          <w:bCs/>
          <w:sz w:val="22"/>
          <w:szCs w:val="22"/>
        </w:rPr>
      </w:pPr>
      <w:bookmarkStart w:id="45" w:name="_Toc185605234"/>
      <w:r w:rsidRPr="00521A02">
        <w:rPr>
          <w:rFonts w:ascii="Bookman Old Style" w:hAnsi="Bookman Old Style"/>
          <w:b/>
          <w:bCs/>
          <w:sz w:val="22"/>
          <w:szCs w:val="22"/>
        </w:rPr>
        <w:t>WELFARE</w:t>
      </w:r>
      <w:bookmarkEnd w:id="45"/>
    </w:p>
    <w:p w14:paraId="483E132E" w14:textId="6276CDEB" w:rsidR="000530B5" w:rsidRPr="00521A02" w:rsidRDefault="000530B5" w:rsidP="001C7960">
      <w:pPr>
        <w:pStyle w:val="Titolo2"/>
        <w:numPr>
          <w:ilvl w:val="0"/>
          <w:numId w:val="18"/>
        </w:numPr>
        <w:spacing w:before="0"/>
        <w:rPr>
          <w:rFonts w:ascii="Bookman Old Style" w:hAnsi="Bookman Old Style"/>
          <w:b/>
          <w:bCs/>
          <w:sz w:val="22"/>
          <w:szCs w:val="22"/>
        </w:rPr>
      </w:pPr>
      <w:bookmarkStart w:id="46" w:name="_Toc185605235"/>
      <w:r w:rsidRPr="00521A02">
        <w:rPr>
          <w:rFonts w:ascii="Bookman Old Style" w:hAnsi="Bookman Old Style"/>
          <w:b/>
          <w:bCs/>
          <w:sz w:val="22"/>
          <w:szCs w:val="22"/>
        </w:rPr>
        <w:t xml:space="preserve">Modalità utilizzo fondo unico inclusione disabilità (Art. </w:t>
      </w:r>
      <w:r w:rsidR="0017424F" w:rsidRPr="00521A02">
        <w:rPr>
          <w:rFonts w:ascii="Bookman Old Style" w:hAnsi="Bookman Old Style"/>
          <w:b/>
          <w:bCs/>
          <w:sz w:val="22"/>
          <w:szCs w:val="22"/>
        </w:rPr>
        <w:t>1, comma 234</w:t>
      </w:r>
      <w:r w:rsidRPr="00521A02">
        <w:rPr>
          <w:rFonts w:ascii="Bookman Old Style" w:hAnsi="Bookman Old Style"/>
          <w:b/>
          <w:bCs/>
          <w:sz w:val="22"/>
          <w:szCs w:val="22"/>
        </w:rPr>
        <w:t>)</w:t>
      </w:r>
      <w:bookmarkEnd w:id="46"/>
    </w:p>
    <w:p w14:paraId="10729465" w14:textId="7124B59F" w:rsidR="000530B5" w:rsidRPr="00521A02" w:rsidRDefault="000530B5" w:rsidP="001C7960">
      <w:pPr>
        <w:autoSpaceDE w:val="0"/>
        <w:autoSpaceDN w:val="0"/>
        <w:adjustRightInd w:val="0"/>
        <w:spacing w:after="80"/>
        <w:jc w:val="both"/>
        <w:rPr>
          <w:rFonts w:ascii="Bookman Old Style" w:hAnsi="Bookman Old Style" w:cs="CIDFont+F2"/>
          <w:kern w:val="0"/>
        </w:rPr>
      </w:pPr>
      <w:r w:rsidRPr="00521A02">
        <w:rPr>
          <w:rFonts w:ascii="Bookman Old Style" w:hAnsi="Bookman Old Style" w:cs="CIDFont+F2"/>
          <w:kern w:val="0"/>
        </w:rPr>
        <w:t xml:space="preserve">La norma, </w:t>
      </w:r>
      <w:r w:rsidRPr="00521A02">
        <w:rPr>
          <w:rFonts w:ascii="Bookman Old Style" w:hAnsi="Bookman Old Style"/>
        </w:rPr>
        <w:t xml:space="preserve">approvata in </w:t>
      </w:r>
      <w:r w:rsidR="002A06D3" w:rsidRPr="00521A02">
        <w:rPr>
          <w:rFonts w:ascii="Bookman Old Style" w:hAnsi="Bookman Old Style"/>
        </w:rPr>
        <w:t>C</w:t>
      </w:r>
      <w:r w:rsidRPr="00521A02">
        <w:rPr>
          <w:rFonts w:ascii="Bookman Old Style" w:hAnsi="Bookman Old Style"/>
        </w:rPr>
        <w:t xml:space="preserve">ommissione </w:t>
      </w:r>
      <w:r w:rsidR="00A73BF4" w:rsidRPr="00521A02">
        <w:rPr>
          <w:rFonts w:ascii="Bookman Old Style" w:hAnsi="Bookman Old Style"/>
        </w:rPr>
        <w:t xml:space="preserve">Bilancio </w:t>
      </w:r>
      <w:r w:rsidRPr="00521A02">
        <w:rPr>
          <w:rFonts w:ascii="Bookman Old Style" w:hAnsi="Bookman Old Style"/>
        </w:rPr>
        <w:t>Camera,</w:t>
      </w:r>
      <w:r w:rsidRPr="00521A02">
        <w:rPr>
          <w:rFonts w:ascii="Bookman Old Style" w:hAnsi="Bookman Old Style" w:cs="CIDFont+F2"/>
          <w:kern w:val="0"/>
        </w:rPr>
        <w:t xml:space="preserve"> stabilisce che i criteri generali per l'utilizzo del Fondo unico per l'inclusione delle persone con disabilità, nonché gli eventuali criteri di riparto tra le regioni delle quote del Fondo, siano definiti con uno o più decreti dell'Autorità politica delegata in materia di disabilità, adottati di concerto con il MEF e con gli altri Ministri competenti per materia. Prevede inoltre che l'utilizzo del Fondo avvenga in coerenza con i criteri determinati dai suddetti decreti, tramite ulteriori </w:t>
      </w:r>
      <w:r w:rsidR="00A73BF4" w:rsidRPr="00521A02">
        <w:rPr>
          <w:rFonts w:ascii="Bookman Old Style" w:hAnsi="Bookman Old Style" w:cs="CIDFont+F2"/>
          <w:kern w:val="0"/>
        </w:rPr>
        <w:t xml:space="preserve">provvedimenti </w:t>
      </w:r>
      <w:r w:rsidRPr="00521A02">
        <w:rPr>
          <w:rFonts w:ascii="Bookman Old Style" w:hAnsi="Bookman Old Style" w:cs="CIDFont+F2"/>
          <w:kern w:val="0"/>
        </w:rPr>
        <w:t>adottati secondo le stesse modalità.</w:t>
      </w:r>
    </w:p>
    <w:p w14:paraId="5D37760C" w14:textId="4590FC16" w:rsidR="00420DEB" w:rsidRPr="00521A02" w:rsidRDefault="00671FCB" w:rsidP="005674E5">
      <w:pPr>
        <w:pStyle w:val="Titolo1"/>
        <w:spacing w:after="240"/>
        <w:rPr>
          <w:rFonts w:ascii="Bookman Old Style" w:hAnsi="Bookman Old Style"/>
          <w:b/>
          <w:bCs/>
          <w:sz w:val="22"/>
          <w:szCs w:val="22"/>
        </w:rPr>
      </w:pPr>
      <w:bookmarkStart w:id="47" w:name="_Toc185605236"/>
      <w:r w:rsidRPr="00521A02">
        <w:rPr>
          <w:rFonts w:ascii="Bookman Old Style" w:hAnsi="Bookman Old Style"/>
          <w:b/>
          <w:bCs/>
          <w:sz w:val="22"/>
          <w:szCs w:val="22"/>
        </w:rPr>
        <w:lastRenderedPageBreak/>
        <w:t>SCUOLA</w:t>
      </w:r>
      <w:bookmarkEnd w:id="47"/>
      <w:r w:rsidRPr="00521A02">
        <w:rPr>
          <w:rFonts w:ascii="Bookman Old Style" w:hAnsi="Bookman Old Style"/>
          <w:b/>
          <w:bCs/>
          <w:sz w:val="22"/>
          <w:szCs w:val="22"/>
        </w:rPr>
        <w:t xml:space="preserve"> </w:t>
      </w:r>
    </w:p>
    <w:p w14:paraId="7DCDB67A" w14:textId="6A7FF46D" w:rsidR="000530B5" w:rsidRPr="00521A02" w:rsidRDefault="000530B5" w:rsidP="001C7960">
      <w:pPr>
        <w:pStyle w:val="Titolo2"/>
        <w:numPr>
          <w:ilvl w:val="0"/>
          <w:numId w:val="19"/>
        </w:numPr>
        <w:spacing w:before="0"/>
        <w:rPr>
          <w:rFonts w:ascii="Bookman Old Style" w:hAnsi="Bookman Old Style"/>
          <w:b/>
          <w:bCs/>
          <w:sz w:val="22"/>
          <w:szCs w:val="22"/>
        </w:rPr>
      </w:pPr>
      <w:bookmarkStart w:id="48" w:name="_Toc185605237"/>
      <w:bookmarkStart w:id="49" w:name="_Toc185416110"/>
      <w:r w:rsidRPr="00521A02">
        <w:rPr>
          <w:rFonts w:ascii="Bookman Old Style" w:hAnsi="Bookman Old Style"/>
          <w:b/>
          <w:bCs/>
          <w:sz w:val="22"/>
          <w:szCs w:val="22"/>
        </w:rPr>
        <w:t xml:space="preserve">Istituzione fondo sostegno attività educative (Art. </w:t>
      </w:r>
      <w:r w:rsidR="00847AC2" w:rsidRPr="00521A02">
        <w:rPr>
          <w:rFonts w:ascii="Bookman Old Style" w:hAnsi="Bookman Old Style"/>
          <w:b/>
          <w:bCs/>
          <w:sz w:val="22"/>
          <w:szCs w:val="22"/>
        </w:rPr>
        <w:t>1, commi 21</w:t>
      </w:r>
      <w:r w:rsidR="003D3747" w:rsidRPr="00521A02">
        <w:rPr>
          <w:rFonts w:ascii="Bookman Old Style" w:hAnsi="Bookman Old Style"/>
          <w:b/>
          <w:bCs/>
          <w:sz w:val="22"/>
          <w:szCs w:val="22"/>
        </w:rPr>
        <w:t>3-216</w:t>
      </w:r>
      <w:r w:rsidRPr="00521A02">
        <w:rPr>
          <w:rFonts w:ascii="Bookman Old Style" w:hAnsi="Bookman Old Style"/>
          <w:b/>
          <w:bCs/>
          <w:sz w:val="22"/>
          <w:szCs w:val="22"/>
        </w:rPr>
        <w:t>)</w:t>
      </w:r>
      <w:bookmarkEnd w:id="48"/>
    </w:p>
    <w:p w14:paraId="64140C9A" w14:textId="7EB6C446" w:rsidR="006F4509" w:rsidRDefault="006F4509" w:rsidP="001C7960">
      <w:pPr>
        <w:spacing w:after="80"/>
        <w:jc w:val="both"/>
        <w:rPr>
          <w:rFonts w:ascii="Bookman Old Style" w:hAnsi="Bookman Old Style"/>
        </w:rPr>
      </w:pPr>
      <w:r w:rsidRPr="00521A02">
        <w:rPr>
          <w:rFonts w:ascii="Bookman Old Style" w:hAnsi="Bookman Old Style"/>
        </w:rPr>
        <w:t xml:space="preserve">La norma, approvata in </w:t>
      </w:r>
      <w:r w:rsidR="002A06D3" w:rsidRPr="00521A02">
        <w:rPr>
          <w:rFonts w:ascii="Bookman Old Style" w:hAnsi="Bookman Old Style"/>
        </w:rPr>
        <w:t>C</w:t>
      </w:r>
      <w:r w:rsidRPr="00521A02">
        <w:rPr>
          <w:rFonts w:ascii="Bookman Old Style" w:hAnsi="Bookman Old Style"/>
        </w:rPr>
        <w:t>ommissione</w:t>
      </w:r>
      <w:r w:rsidR="002E3B84" w:rsidRPr="00521A02">
        <w:rPr>
          <w:rFonts w:ascii="Bookman Old Style" w:hAnsi="Bookman Old Style"/>
        </w:rPr>
        <w:t xml:space="preserve"> B</w:t>
      </w:r>
      <w:r w:rsidRPr="00521A02">
        <w:rPr>
          <w:rFonts w:ascii="Bookman Old Style" w:hAnsi="Bookman Old Style"/>
        </w:rPr>
        <w:t xml:space="preserve">ilancio Camera, istituisce il Fondo per il sostegno alle attività educative formali e non formali a bambine/i e adolescenti, con una dotazione complessiva di 10,5 mln di euro per il triennio 2025-2027: 3 milioni per il 2025, 3,5 per il 2026 e 4 per il 2027. Il fondo finanzia le iniziative dei </w:t>
      </w:r>
      <w:r w:rsidR="00262C5A" w:rsidRPr="00521A02">
        <w:rPr>
          <w:rFonts w:ascii="Bookman Old Style" w:hAnsi="Bookman Old Style"/>
        </w:rPr>
        <w:t>C</w:t>
      </w:r>
      <w:r w:rsidRPr="00521A02">
        <w:rPr>
          <w:rFonts w:ascii="Bookman Old Style" w:hAnsi="Bookman Old Style"/>
        </w:rPr>
        <w:t xml:space="preserve">omuni che possono essere svolte, anche attraverso accordi con i </w:t>
      </w:r>
      <w:r w:rsidR="00262C5A" w:rsidRPr="00521A02">
        <w:rPr>
          <w:rFonts w:ascii="Bookman Old Style" w:hAnsi="Bookman Old Style"/>
        </w:rPr>
        <w:t>C</w:t>
      </w:r>
      <w:r w:rsidRPr="00521A02">
        <w:rPr>
          <w:rFonts w:ascii="Bookman Old Style" w:hAnsi="Bookman Old Style"/>
        </w:rPr>
        <w:t xml:space="preserve">omuni limitrofi e con il coinvolgimento del terzo settore, presso le scuole, i centri estivi, i servizi socio-educativi territoriali, i centri con funzione educativa e ricreativa per i minori, gli enti religiosi ovvero con altre modalità definite nella co-progettazione al fine di promuovere e potenziare i percorsi di sviluppo e di promozione del benessere psico-fisico dei minori, anche attraverso l'attività sportiva, artistica e musicale, con particolare attenzione all'apprendimento delle discipline scientifiche, tecnologiche, ingegneristiche e matematiche. Con decreto del Presidente del Consiglio dei </w:t>
      </w:r>
      <w:r w:rsidR="00F7678F">
        <w:rPr>
          <w:rFonts w:ascii="Bookman Old Style" w:hAnsi="Bookman Old Style"/>
        </w:rPr>
        <w:t>m</w:t>
      </w:r>
      <w:r w:rsidRPr="00521A02">
        <w:rPr>
          <w:rFonts w:ascii="Bookman Old Style" w:hAnsi="Bookman Old Style"/>
        </w:rPr>
        <w:t>inistri di concerto con il ministero dell'intero e dell'economia e delle finanze da saranno le complessive modalità attuative della norma.</w:t>
      </w:r>
    </w:p>
    <w:p w14:paraId="37B2D857" w14:textId="77777777" w:rsidR="00227405" w:rsidRDefault="00227405" w:rsidP="001C7960">
      <w:pPr>
        <w:spacing w:after="80"/>
        <w:jc w:val="both"/>
        <w:rPr>
          <w:rFonts w:ascii="Bookman Old Style" w:hAnsi="Bookman Old Style"/>
        </w:rPr>
      </w:pPr>
    </w:p>
    <w:p w14:paraId="0A48D1F1" w14:textId="238ED23C" w:rsidR="00227405" w:rsidRPr="00227405" w:rsidRDefault="00227405" w:rsidP="00227405">
      <w:pPr>
        <w:pStyle w:val="Titolo2"/>
        <w:numPr>
          <w:ilvl w:val="0"/>
          <w:numId w:val="19"/>
        </w:numPr>
        <w:spacing w:before="0"/>
        <w:rPr>
          <w:rFonts w:ascii="Bookman Old Style" w:hAnsi="Bookman Old Style"/>
          <w:b/>
          <w:bCs/>
          <w:sz w:val="22"/>
          <w:szCs w:val="22"/>
        </w:rPr>
      </w:pPr>
      <w:bookmarkStart w:id="50" w:name="_Toc185605238"/>
      <w:r w:rsidRPr="00227405">
        <w:rPr>
          <w:rFonts w:ascii="Bookman Old Style" w:hAnsi="Bookman Old Style"/>
          <w:b/>
          <w:bCs/>
          <w:sz w:val="22"/>
          <w:szCs w:val="22"/>
        </w:rPr>
        <w:t>Misure per il supporto al pagamento di rette relative alla frequenza di asili nido (Art. 1</w:t>
      </w:r>
      <w:r>
        <w:rPr>
          <w:rFonts w:ascii="Bookman Old Style" w:hAnsi="Bookman Old Style"/>
          <w:b/>
          <w:bCs/>
          <w:sz w:val="22"/>
          <w:szCs w:val="22"/>
        </w:rPr>
        <w:t>,</w:t>
      </w:r>
      <w:r w:rsidRPr="00227405">
        <w:rPr>
          <w:rFonts w:ascii="Bookman Old Style" w:hAnsi="Bookman Old Style"/>
          <w:b/>
          <w:bCs/>
          <w:sz w:val="22"/>
          <w:szCs w:val="22"/>
        </w:rPr>
        <w:t xml:space="preserve"> commi 209 - 210 – 211 – 212)</w:t>
      </w:r>
      <w:bookmarkEnd w:id="50"/>
    </w:p>
    <w:p w14:paraId="26AAB197" w14:textId="77777777" w:rsidR="00227405" w:rsidRPr="00227405" w:rsidRDefault="00227405" w:rsidP="00227405">
      <w:pPr>
        <w:spacing w:after="80"/>
        <w:jc w:val="both"/>
        <w:rPr>
          <w:rFonts w:ascii="Bookman Old Style" w:hAnsi="Bookman Old Style"/>
        </w:rPr>
      </w:pPr>
      <w:r w:rsidRPr="00227405">
        <w:rPr>
          <w:rFonts w:ascii="Bookman Old Style" w:hAnsi="Bookman Old Style"/>
        </w:rPr>
        <w:t xml:space="preserve">Dal 2025 l’importo percepito come assegno unico universale, ai fini della richiesta del bonus per gli asili nido, non sarà più incluso nel calcolo dell’ISEE. </w:t>
      </w:r>
    </w:p>
    <w:p w14:paraId="7D6BB9AE" w14:textId="63224CE8" w:rsidR="00227405" w:rsidRPr="00227405" w:rsidRDefault="00227405" w:rsidP="00227405">
      <w:pPr>
        <w:spacing w:after="80"/>
        <w:jc w:val="both"/>
        <w:rPr>
          <w:rFonts w:ascii="Bookman Old Style" w:hAnsi="Bookman Old Style"/>
        </w:rPr>
      </w:pPr>
      <w:r w:rsidRPr="00227405">
        <w:rPr>
          <w:rFonts w:ascii="Bookman Old Style" w:hAnsi="Bookman Old Style"/>
        </w:rPr>
        <w:t xml:space="preserve">Viene meno la limitazione all’accesso del bonus asili nido: non è più necessario, infatti, avere un altro figlio di età inferiore ai 10 anni per beneficiare dell’importo massimo del bonus ed inoltre il bonus viene concesso con un ISEE fino a 40 mila euro, grazie a queste misure i comuni potranno vedere incrementate le loro entrate da compartecipazione degli utenti. </w:t>
      </w:r>
    </w:p>
    <w:p w14:paraId="28BF4186" w14:textId="6C034497" w:rsidR="00227405" w:rsidRPr="00227405" w:rsidRDefault="00227405" w:rsidP="00227405">
      <w:pPr>
        <w:spacing w:after="80"/>
        <w:jc w:val="both"/>
        <w:rPr>
          <w:rFonts w:ascii="Bookman Old Style" w:hAnsi="Bookman Old Style"/>
        </w:rPr>
      </w:pPr>
      <w:r w:rsidRPr="00227405">
        <w:rPr>
          <w:rFonts w:ascii="Bookman Old Style" w:hAnsi="Bookman Old Style"/>
        </w:rPr>
        <w:t>È incrementata, l’autorizzazione di spesa di cui all’articolo 1, comma 355, della legge 11 dicembre 2016, n. 232, con un importo di 97 milioni di euro per l’anno 2025, di 131 milioni di euro per l’anno 2026, di 194 milioni di euro per l’anno 2027, di 197 milioni di euro per l’anno 2028 e di 200 milioni di euro annui a decorrere dall’anno 2029.</w:t>
      </w:r>
    </w:p>
    <w:p w14:paraId="4C416827" w14:textId="35B17115" w:rsidR="00227405" w:rsidRPr="00227405" w:rsidRDefault="00227405" w:rsidP="00227405">
      <w:pPr>
        <w:spacing w:after="80"/>
        <w:jc w:val="both"/>
        <w:rPr>
          <w:rFonts w:ascii="Bookman Old Style" w:hAnsi="Bookman Old Style"/>
        </w:rPr>
      </w:pPr>
      <w:r w:rsidRPr="00227405">
        <w:rPr>
          <w:rFonts w:ascii="Bookman Old Style" w:hAnsi="Bookman Old Style"/>
        </w:rPr>
        <w:t>Inoltre, è prevista una semplificazione e razionalizzazione delle procedure di riconoscimento ed erogazione del bonus nido per il quale è richiesta l’esibizione di fattura da parte del richiedente. Infatti a decorrere dal 1° gennaio 2025, l’INPS  acquisisce e verifica, in interoperabilità, le informazioni, disponibili nella banca di dati dell’Agenzia delle entrate, relative alla fatturazione elettronica rilasciata da persone fisiche o giuridiche, pubbliche o private, riferita ai servizi per i quali è concessa la prestazione economica.</w:t>
      </w:r>
    </w:p>
    <w:p w14:paraId="679C9AAF" w14:textId="77777777" w:rsidR="00227405" w:rsidRPr="00521A02" w:rsidRDefault="00227405" w:rsidP="001C7960">
      <w:pPr>
        <w:spacing w:after="80"/>
        <w:jc w:val="both"/>
        <w:rPr>
          <w:rFonts w:ascii="Bookman Old Style" w:hAnsi="Bookman Old Style"/>
        </w:rPr>
      </w:pPr>
    </w:p>
    <w:p w14:paraId="41C1F66D" w14:textId="0559BF68" w:rsidR="00420DEB" w:rsidRPr="00521A02" w:rsidRDefault="000530B5" w:rsidP="005674E5">
      <w:pPr>
        <w:pStyle w:val="Titolo1"/>
        <w:spacing w:after="240"/>
        <w:rPr>
          <w:rFonts w:ascii="Bookman Old Style" w:hAnsi="Bookman Old Style"/>
          <w:b/>
          <w:bCs/>
          <w:sz w:val="22"/>
          <w:szCs w:val="22"/>
        </w:rPr>
      </w:pPr>
      <w:bookmarkStart w:id="51" w:name="_Toc185605239"/>
      <w:bookmarkEnd w:id="49"/>
      <w:r w:rsidRPr="00521A02">
        <w:rPr>
          <w:rFonts w:ascii="Bookman Old Style" w:hAnsi="Bookman Old Style"/>
          <w:b/>
          <w:bCs/>
          <w:sz w:val="22"/>
          <w:szCs w:val="22"/>
        </w:rPr>
        <w:t>CULTURA</w:t>
      </w:r>
      <w:bookmarkEnd w:id="51"/>
    </w:p>
    <w:p w14:paraId="17E93C0D" w14:textId="5F9BCE36" w:rsidR="002F4C5A" w:rsidRPr="00521A02" w:rsidRDefault="002F4C5A" w:rsidP="001C7960">
      <w:pPr>
        <w:pStyle w:val="Titolo2"/>
        <w:numPr>
          <w:ilvl w:val="0"/>
          <w:numId w:val="21"/>
        </w:numPr>
        <w:spacing w:before="0"/>
        <w:rPr>
          <w:rFonts w:ascii="Bookman Old Style" w:hAnsi="Bookman Old Style"/>
          <w:b/>
          <w:bCs/>
          <w:sz w:val="22"/>
          <w:szCs w:val="22"/>
        </w:rPr>
      </w:pPr>
      <w:bookmarkStart w:id="52" w:name="_Toc185605240"/>
      <w:r w:rsidRPr="00521A02">
        <w:rPr>
          <w:rFonts w:ascii="Bookman Old Style" w:hAnsi="Bookman Old Style"/>
          <w:b/>
          <w:bCs/>
          <w:sz w:val="22"/>
          <w:szCs w:val="22"/>
        </w:rPr>
        <w:t xml:space="preserve">Fondo nazionale per lo spettacolo dal vivo (Art. </w:t>
      </w:r>
      <w:r w:rsidR="00A764EA" w:rsidRPr="00521A02">
        <w:rPr>
          <w:rFonts w:ascii="Bookman Old Style" w:hAnsi="Bookman Old Style"/>
          <w:b/>
          <w:bCs/>
          <w:sz w:val="22"/>
          <w:szCs w:val="22"/>
        </w:rPr>
        <w:t>1,</w:t>
      </w:r>
      <w:r w:rsidRPr="00521A02">
        <w:rPr>
          <w:rFonts w:ascii="Bookman Old Style" w:hAnsi="Bookman Old Style"/>
          <w:b/>
          <w:bCs/>
          <w:sz w:val="22"/>
          <w:szCs w:val="22"/>
        </w:rPr>
        <w:t xml:space="preserve"> comma </w:t>
      </w:r>
      <w:r w:rsidR="00945319" w:rsidRPr="00521A02">
        <w:rPr>
          <w:rFonts w:ascii="Bookman Old Style" w:hAnsi="Bookman Old Style"/>
          <w:b/>
          <w:bCs/>
          <w:sz w:val="22"/>
          <w:szCs w:val="22"/>
        </w:rPr>
        <w:t>608</w:t>
      </w:r>
      <w:r w:rsidRPr="00521A02">
        <w:rPr>
          <w:rFonts w:ascii="Bookman Old Style" w:hAnsi="Bookman Old Style"/>
          <w:b/>
          <w:bCs/>
          <w:sz w:val="22"/>
          <w:szCs w:val="22"/>
        </w:rPr>
        <w:t>)</w:t>
      </w:r>
      <w:bookmarkEnd w:id="52"/>
    </w:p>
    <w:p w14:paraId="69B172A5" w14:textId="3F7B1292" w:rsidR="002F4C5A" w:rsidRPr="00521A02" w:rsidRDefault="002F4C5A" w:rsidP="001C7960">
      <w:pPr>
        <w:spacing w:after="80"/>
        <w:jc w:val="both"/>
        <w:rPr>
          <w:rFonts w:ascii="Bookman Old Style" w:hAnsi="Bookman Old Style" w:cs="CIDFont+F2"/>
          <w:kern w:val="0"/>
        </w:rPr>
      </w:pPr>
      <w:r w:rsidRPr="00521A02">
        <w:rPr>
          <w:rFonts w:ascii="Bookman Old Style" w:hAnsi="Bookman Old Style" w:cs="CIDFont+F2"/>
          <w:kern w:val="0"/>
        </w:rPr>
        <w:t xml:space="preserve">La norma, </w:t>
      </w:r>
      <w:bookmarkStart w:id="53" w:name="_Hlk185416797"/>
      <w:r w:rsidRPr="00521A02">
        <w:rPr>
          <w:rFonts w:ascii="Bookman Old Style" w:hAnsi="Bookman Old Style" w:cs="CIDFont+F2"/>
          <w:kern w:val="0"/>
        </w:rPr>
        <w:t xml:space="preserve">approvata in </w:t>
      </w:r>
      <w:r w:rsidR="002A06D3" w:rsidRPr="00521A02">
        <w:rPr>
          <w:rFonts w:ascii="Bookman Old Style" w:hAnsi="Bookman Old Style" w:cs="CIDFont+F2"/>
          <w:kern w:val="0"/>
        </w:rPr>
        <w:t>C</w:t>
      </w:r>
      <w:r w:rsidRPr="00521A02">
        <w:rPr>
          <w:rFonts w:ascii="Bookman Old Style" w:hAnsi="Bookman Old Style" w:cs="CIDFont+F2"/>
          <w:kern w:val="0"/>
        </w:rPr>
        <w:t xml:space="preserve">ommissione </w:t>
      </w:r>
      <w:r w:rsidR="00B972A5" w:rsidRPr="00521A02">
        <w:rPr>
          <w:rFonts w:ascii="Bookman Old Style" w:hAnsi="Bookman Old Style" w:cs="CIDFont+F2"/>
          <w:kern w:val="0"/>
        </w:rPr>
        <w:t>B</w:t>
      </w:r>
      <w:r w:rsidRPr="00521A02">
        <w:rPr>
          <w:rFonts w:ascii="Bookman Old Style" w:hAnsi="Bookman Old Style" w:cs="CIDFont+F2"/>
          <w:kern w:val="0"/>
        </w:rPr>
        <w:t>ilancio Camera</w:t>
      </w:r>
      <w:bookmarkEnd w:id="53"/>
      <w:r w:rsidRPr="00521A02">
        <w:rPr>
          <w:rFonts w:ascii="Bookman Old Style" w:hAnsi="Bookman Old Style" w:cs="CIDFont+F2"/>
          <w:kern w:val="0"/>
        </w:rPr>
        <w:t xml:space="preserve">, al fine di sostenere soggetti che svolgono attività di promozione del teatro urbano o che organizzano manifestazioni, rassegne e festival con l'impiego esclusivo degli artisti di strada, prevede che la quota del Fondo nazionale per lo spettacolo dal vivo sia incrementata di 0,5 milioni di euro per il 2025 e 1 milione di euro per ciascuno degli anni 2026 e 2027. Con </w:t>
      </w:r>
      <w:r w:rsidR="00950E49" w:rsidRPr="00521A02">
        <w:rPr>
          <w:rFonts w:ascii="Bookman Old Style" w:hAnsi="Bookman Old Style" w:cs="CIDFont+F2"/>
          <w:kern w:val="0"/>
        </w:rPr>
        <w:t xml:space="preserve">decreto </w:t>
      </w:r>
      <w:r w:rsidRPr="00521A02">
        <w:rPr>
          <w:rFonts w:ascii="Bookman Old Style" w:hAnsi="Bookman Old Style" w:cs="CIDFont+F2"/>
          <w:kern w:val="0"/>
        </w:rPr>
        <w:t>del Ministero della cultura sono stabilite le modalità di attuazione</w:t>
      </w:r>
      <w:r w:rsidR="00950E49" w:rsidRPr="00521A02">
        <w:rPr>
          <w:rFonts w:ascii="Bookman Old Style" w:hAnsi="Bookman Old Style" w:cs="CIDFont+F2"/>
          <w:kern w:val="0"/>
        </w:rPr>
        <w:t xml:space="preserve"> della presente norma</w:t>
      </w:r>
      <w:r w:rsidR="007967A4" w:rsidRPr="00521A02">
        <w:rPr>
          <w:rFonts w:ascii="Bookman Old Style" w:hAnsi="Bookman Old Style" w:cs="CIDFont+F2"/>
          <w:kern w:val="0"/>
        </w:rPr>
        <w:t>.</w:t>
      </w:r>
    </w:p>
    <w:p w14:paraId="12B6A8A8" w14:textId="77777777" w:rsidR="00A36918" w:rsidRPr="00521A02" w:rsidRDefault="00A36918" w:rsidP="001C7960">
      <w:pPr>
        <w:spacing w:after="80"/>
        <w:jc w:val="both"/>
        <w:rPr>
          <w:rFonts w:ascii="Bookman Old Style" w:hAnsi="Bookman Old Style" w:cs="CIDFont+F2"/>
          <w:kern w:val="0"/>
        </w:rPr>
      </w:pPr>
    </w:p>
    <w:p w14:paraId="457832B9" w14:textId="48ECB45F" w:rsidR="00965B25" w:rsidRPr="00521A02" w:rsidRDefault="00F4752E" w:rsidP="005674E5">
      <w:pPr>
        <w:pStyle w:val="Titolo1"/>
        <w:spacing w:after="240"/>
        <w:rPr>
          <w:rFonts w:ascii="Bookman Old Style" w:hAnsi="Bookman Old Style"/>
          <w:b/>
          <w:bCs/>
          <w:sz w:val="22"/>
          <w:szCs w:val="22"/>
        </w:rPr>
      </w:pPr>
      <w:bookmarkStart w:id="54" w:name="_Toc185605241"/>
      <w:r w:rsidRPr="00521A02">
        <w:rPr>
          <w:rFonts w:ascii="Bookman Old Style" w:hAnsi="Bookman Old Style"/>
          <w:b/>
          <w:bCs/>
          <w:sz w:val="22"/>
          <w:szCs w:val="22"/>
        </w:rPr>
        <w:lastRenderedPageBreak/>
        <w:t xml:space="preserve">SICUREZZA </w:t>
      </w:r>
      <w:r w:rsidR="007D0FAB" w:rsidRPr="00521A02">
        <w:rPr>
          <w:rFonts w:ascii="Bookman Old Style" w:hAnsi="Bookman Old Style"/>
          <w:b/>
          <w:bCs/>
          <w:sz w:val="22"/>
          <w:szCs w:val="22"/>
        </w:rPr>
        <w:t>E LEGALITÀ</w:t>
      </w:r>
      <w:bookmarkEnd w:id="54"/>
    </w:p>
    <w:p w14:paraId="4DA658A0" w14:textId="73C0B0CC" w:rsidR="00E720FE" w:rsidRPr="00521A02" w:rsidRDefault="00F8651F" w:rsidP="001C7960">
      <w:pPr>
        <w:pStyle w:val="Titolo2"/>
        <w:numPr>
          <w:ilvl w:val="0"/>
          <w:numId w:val="22"/>
        </w:numPr>
        <w:spacing w:before="0"/>
        <w:rPr>
          <w:rFonts w:ascii="Bookman Old Style" w:hAnsi="Bookman Old Style"/>
          <w:b/>
          <w:bCs/>
          <w:sz w:val="22"/>
          <w:szCs w:val="22"/>
        </w:rPr>
      </w:pPr>
      <w:bookmarkStart w:id="55" w:name="_Toc185245944"/>
      <w:bookmarkStart w:id="56" w:name="_Toc185605242"/>
      <w:r w:rsidRPr="00521A02">
        <w:rPr>
          <w:rFonts w:ascii="Bookman Old Style" w:hAnsi="Bookman Old Style"/>
          <w:b/>
          <w:bCs/>
          <w:sz w:val="22"/>
          <w:szCs w:val="22"/>
        </w:rPr>
        <w:t>I</w:t>
      </w:r>
      <w:r w:rsidR="00203B12" w:rsidRPr="00521A02">
        <w:rPr>
          <w:rFonts w:ascii="Bookman Old Style" w:hAnsi="Bookman Old Style"/>
          <w:b/>
          <w:bCs/>
          <w:sz w:val="22"/>
          <w:szCs w:val="22"/>
        </w:rPr>
        <w:t>ncremento del fondo per la legalità</w:t>
      </w:r>
      <w:bookmarkEnd w:id="55"/>
      <w:r w:rsidR="00203B12" w:rsidRPr="00521A02">
        <w:rPr>
          <w:rFonts w:ascii="Bookman Old Style" w:hAnsi="Bookman Old Style"/>
          <w:b/>
          <w:bCs/>
          <w:sz w:val="22"/>
          <w:szCs w:val="22"/>
        </w:rPr>
        <w:t xml:space="preserve"> </w:t>
      </w:r>
      <w:r w:rsidR="002D5A97" w:rsidRPr="00521A02">
        <w:rPr>
          <w:rFonts w:ascii="Bookman Old Style" w:hAnsi="Bookman Old Style"/>
          <w:b/>
          <w:bCs/>
          <w:sz w:val="22"/>
          <w:szCs w:val="22"/>
        </w:rPr>
        <w:t>(Art. 1</w:t>
      </w:r>
      <w:r w:rsidR="00366A0B" w:rsidRPr="00521A02">
        <w:rPr>
          <w:rFonts w:ascii="Bookman Old Style" w:hAnsi="Bookman Old Style"/>
          <w:b/>
          <w:bCs/>
          <w:sz w:val="22"/>
          <w:szCs w:val="22"/>
        </w:rPr>
        <w:t>, comm</w:t>
      </w:r>
      <w:r w:rsidR="006F4509" w:rsidRPr="00521A02">
        <w:rPr>
          <w:rFonts w:ascii="Bookman Old Style" w:hAnsi="Bookman Old Style"/>
          <w:b/>
          <w:bCs/>
          <w:sz w:val="22"/>
          <w:szCs w:val="22"/>
        </w:rPr>
        <w:t>a 772)</w:t>
      </w:r>
      <w:bookmarkEnd w:id="56"/>
    </w:p>
    <w:p w14:paraId="1E06F581" w14:textId="3E9E5111" w:rsidR="00E720FE" w:rsidRPr="00521A02" w:rsidRDefault="002D5A97" w:rsidP="001C7960">
      <w:pPr>
        <w:spacing w:after="80"/>
        <w:jc w:val="both"/>
        <w:rPr>
          <w:rFonts w:ascii="Bookman Old Style" w:hAnsi="Bookman Old Style"/>
        </w:rPr>
      </w:pPr>
      <w:r w:rsidRPr="00521A02">
        <w:rPr>
          <w:rFonts w:ascii="Bookman Old Style" w:hAnsi="Bookman Old Style"/>
        </w:rPr>
        <w:t xml:space="preserve">La norma, </w:t>
      </w:r>
      <w:r w:rsidR="00503A32" w:rsidRPr="00521A02">
        <w:rPr>
          <w:rFonts w:ascii="Bookman Old Style" w:hAnsi="Bookman Old Style"/>
        </w:rPr>
        <w:t xml:space="preserve">proposta dai relatori e approvata in </w:t>
      </w:r>
      <w:r w:rsidR="002A06D3" w:rsidRPr="00521A02">
        <w:rPr>
          <w:rFonts w:ascii="Bookman Old Style" w:hAnsi="Bookman Old Style"/>
        </w:rPr>
        <w:t>C</w:t>
      </w:r>
      <w:r w:rsidR="00503A32" w:rsidRPr="00521A02">
        <w:rPr>
          <w:rFonts w:ascii="Bookman Old Style" w:hAnsi="Bookman Old Style"/>
        </w:rPr>
        <w:t xml:space="preserve">ommissione </w:t>
      </w:r>
      <w:r w:rsidR="00B972A5" w:rsidRPr="00521A02">
        <w:rPr>
          <w:rFonts w:ascii="Bookman Old Style" w:hAnsi="Bookman Old Style"/>
        </w:rPr>
        <w:t>B</w:t>
      </w:r>
      <w:r w:rsidR="00503A32" w:rsidRPr="00521A02">
        <w:rPr>
          <w:rFonts w:ascii="Bookman Old Style" w:hAnsi="Bookman Old Style"/>
        </w:rPr>
        <w:t xml:space="preserve">ilancio, </w:t>
      </w:r>
      <w:r w:rsidR="005839C8" w:rsidRPr="00521A02">
        <w:rPr>
          <w:rFonts w:ascii="Bookman Old Style" w:hAnsi="Bookman Old Style"/>
        </w:rPr>
        <w:t>incrementa di 5 milioni di euro per ciascuno degli anni 2025 e 2026</w:t>
      </w:r>
      <w:r w:rsidR="00A0600E" w:rsidRPr="00521A02">
        <w:rPr>
          <w:rFonts w:ascii="Bookman Old Style" w:hAnsi="Bookman Old Style"/>
        </w:rPr>
        <w:t xml:space="preserve"> </w:t>
      </w:r>
      <w:r w:rsidR="005839C8" w:rsidRPr="00521A02">
        <w:rPr>
          <w:rFonts w:ascii="Bookman Old Style" w:hAnsi="Bookman Old Style"/>
        </w:rPr>
        <w:t xml:space="preserve">il Fondo per la legalità e per la tutela degli amministratori locali vittime di atti intimidatori </w:t>
      </w:r>
      <w:r w:rsidRPr="00521A02">
        <w:rPr>
          <w:rFonts w:ascii="Bookman Old Style" w:hAnsi="Bookman Old Style"/>
        </w:rPr>
        <w:t>al fine</w:t>
      </w:r>
      <w:r w:rsidR="00E720FE" w:rsidRPr="00521A02">
        <w:rPr>
          <w:rFonts w:ascii="Bookman Old Style" w:hAnsi="Bookman Old Style"/>
        </w:rPr>
        <w:t xml:space="preserve"> di consentire agli enti locali di incrementare l'adozione di iniziative per la promozione della legalità nei loro territori, nonché di rinforzare le misure di ristoro del patrimonio dell'ente o in favore degli amministratori locali che hanno subìto episodi di intimidazione connessi all'esercizio delle funzioni istituzionali esercitate</w:t>
      </w:r>
      <w:r w:rsidR="00A0600E" w:rsidRPr="00521A02">
        <w:rPr>
          <w:rFonts w:ascii="Bookman Old Style" w:hAnsi="Bookman Old Style"/>
        </w:rPr>
        <w:t>.</w:t>
      </w:r>
      <w:r w:rsidR="00E720FE" w:rsidRPr="00521A02">
        <w:rPr>
          <w:rFonts w:ascii="Bookman Old Style" w:hAnsi="Bookman Old Style"/>
        </w:rPr>
        <w:t xml:space="preserve"> </w:t>
      </w:r>
    </w:p>
    <w:p w14:paraId="5F75E707" w14:textId="2C13BDB1" w:rsidR="00B00145" w:rsidRPr="00521A02" w:rsidRDefault="00B00145" w:rsidP="005674E5">
      <w:pPr>
        <w:pStyle w:val="Titolo1"/>
        <w:spacing w:after="240"/>
        <w:rPr>
          <w:rFonts w:ascii="Bookman Old Style" w:hAnsi="Bookman Old Style"/>
          <w:b/>
          <w:bCs/>
          <w:sz w:val="22"/>
          <w:szCs w:val="22"/>
        </w:rPr>
      </w:pPr>
      <w:bookmarkStart w:id="57" w:name="_Toc185605243"/>
      <w:r w:rsidRPr="00521A02">
        <w:rPr>
          <w:rFonts w:ascii="Bookman Old Style" w:hAnsi="Bookman Old Style"/>
          <w:b/>
          <w:bCs/>
          <w:sz w:val="22"/>
          <w:szCs w:val="22"/>
        </w:rPr>
        <w:t>SICUREZZA DEL TERRITORIO E PROTEZIONE CIVILE</w:t>
      </w:r>
      <w:bookmarkEnd w:id="57"/>
    </w:p>
    <w:p w14:paraId="77D4CA91" w14:textId="77777777" w:rsidR="00B00145" w:rsidRPr="00521A02" w:rsidRDefault="00B00145" w:rsidP="001C7960">
      <w:pPr>
        <w:pStyle w:val="Titolo2"/>
        <w:numPr>
          <w:ilvl w:val="0"/>
          <w:numId w:val="24"/>
        </w:numPr>
        <w:spacing w:before="0"/>
        <w:rPr>
          <w:rFonts w:ascii="Bookman Old Style" w:hAnsi="Bookman Old Style"/>
          <w:b/>
          <w:bCs/>
          <w:sz w:val="22"/>
          <w:szCs w:val="22"/>
        </w:rPr>
      </w:pPr>
      <w:bookmarkStart w:id="58" w:name="_Toc185605244"/>
      <w:r w:rsidRPr="00521A02">
        <w:rPr>
          <w:rFonts w:ascii="Bookman Old Style" w:hAnsi="Bookman Old Style"/>
          <w:b/>
          <w:bCs/>
          <w:sz w:val="22"/>
          <w:szCs w:val="22"/>
        </w:rPr>
        <w:t>Attività venatoria (Art.1, comma 550)</w:t>
      </w:r>
      <w:bookmarkEnd w:id="58"/>
    </w:p>
    <w:p w14:paraId="396C23D9" w14:textId="77777777" w:rsidR="00B00145" w:rsidRDefault="00B00145" w:rsidP="001C7960">
      <w:pPr>
        <w:spacing w:after="80"/>
        <w:jc w:val="both"/>
        <w:rPr>
          <w:rFonts w:ascii="Bookman Old Style" w:hAnsi="Bookman Old Style"/>
        </w:rPr>
      </w:pPr>
      <w:r w:rsidRPr="00521A02">
        <w:rPr>
          <w:rFonts w:ascii="Bookman Old Style" w:hAnsi="Bookman Old Style"/>
        </w:rPr>
        <w:t xml:space="preserve">La norma reca disposizioni in merito </w:t>
      </w:r>
      <w:r w:rsidRPr="00521A02">
        <w:rPr>
          <w:rFonts w:ascii="Bookman Old Style" w:hAnsi="Bookman Old Style"/>
          <w:b/>
          <w:bCs/>
        </w:rPr>
        <w:t>all'esercizio dell'attività venatoria</w:t>
      </w:r>
      <w:r w:rsidRPr="00521A02">
        <w:rPr>
          <w:rFonts w:ascii="Bookman Old Style" w:hAnsi="Bookman Old Style"/>
        </w:rPr>
        <w:t xml:space="preserve">. In particolare, stabilisce che l'esercizio venatorio è </w:t>
      </w:r>
      <w:r w:rsidRPr="00521A02">
        <w:rPr>
          <w:rFonts w:ascii="Bookman Old Style" w:hAnsi="Bookman Old Style"/>
          <w:b/>
          <w:bCs/>
        </w:rPr>
        <w:t>autorizzato</w:t>
      </w:r>
      <w:r w:rsidRPr="00521A02">
        <w:rPr>
          <w:rFonts w:ascii="Bookman Old Style" w:hAnsi="Bookman Old Style"/>
        </w:rPr>
        <w:t xml:space="preserve"> dalla legge n. 157/1992 </w:t>
      </w:r>
      <w:r w:rsidRPr="00521A02">
        <w:rPr>
          <w:rFonts w:ascii="Bookman Old Style" w:hAnsi="Bookman Old Style"/>
          <w:b/>
          <w:bCs/>
        </w:rPr>
        <w:t>per ciascuna intera annata venatoria</w:t>
      </w:r>
      <w:r w:rsidRPr="00521A02">
        <w:rPr>
          <w:rFonts w:ascii="Bookman Old Style" w:hAnsi="Bookman Old Style"/>
        </w:rPr>
        <w:t>. Dispone inoltre che le regioni, entro e non oltre il 15 giugno, pubblichino il calendario regionale e il regolamento relativi all'intera annata al fine di indicare, per ciascuna specie cacciabile, il numero massimo giornaliero di capi di cui è consentito il prelievo e che siano stabilite con DPCM le variazioni dell'elenco delle specie cacciabili, sentiti l'Istituto superiore per la ricerca e la protezione ambientale e il Comitato tecnico faunistico-venatorio nazionale. Stabilisce che il termine di impugnazione dei calendari venatori è di 30 giorni decorrenti dalla data di pubblicazione sul Bollettino della regione e che le associazioni venatorie riconosciute siano parti necessarie del giudizio. Dispone infine che, qualora la domanda cautelare sia accolta e fino alla pubblicazione della sentenza che definisce il merito, l'attività venatoria sia consentita e riacquistino efficacia i limiti di prelievo e gli orari giornalieri fissati da ciascuna Regione con l'ultimo calendario venatorio legittimamente applicato.</w:t>
      </w:r>
    </w:p>
    <w:p w14:paraId="3A8B82AF" w14:textId="77777777" w:rsidR="00AB711C" w:rsidRPr="00521A02" w:rsidRDefault="00AB711C" w:rsidP="001C7960">
      <w:pPr>
        <w:spacing w:after="80"/>
        <w:jc w:val="both"/>
        <w:rPr>
          <w:rFonts w:ascii="Bookman Old Style" w:hAnsi="Bookman Old Style"/>
        </w:rPr>
      </w:pPr>
    </w:p>
    <w:p w14:paraId="18A0A7FF" w14:textId="71CB2D8F" w:rsidR="00B00145" w:rsidRPr="00521A02" w:rsidRDefault="00B00145" w:rsidP="001C7960">
      <w:pPr>
        <w:pStyle w:val="Titolo2"/>
        <w:numPr>
          <w:ilvl w:val="0"/>
          <w:numId w:val="24"/>
        </w:numPr>
        <w:spacing w:before="0"/>
        <w:rPr>
          <w:rFonts w:ascii="Bookman Old Style" w:hAnsi="Bookman Old Style"/>
          <w:b/>
          <w:bCs/>
          <w:sz w:val="22"/>
          <w:szCs w:val="22"/>
        </w:rPr>
      </w:pPr>
      <w:bookmarkStart w:id="59" w:name="_Toc185605245"/>
      <w:r w:rsidRPr="00521A02">
        <w:rPr>
          <w:rFonts w:ascii="Bookman Old Style" w:hAnsi="Bookman Old Style"/>
          <w:b/>
          <w:bCs/>
          <w:sz w:val="22"/>
          <w:szCs w:val="22"/>
        </w:rPr>
        <w:t>Commissario straordinario fenomeni sismici (Art. 1</w:t>
      </w:r>
      <w:r w:rsidR="0067283C" w:rsidRPr="00521A02">
        <w:rPr>
          <w:rFonts w:ascii="Bookman Old Style" w:hAnsi="Bookman Old Style"/>
          <w:b/>
          <w:bCs/>
          <w:sz w:val="22"/>
          <w:szCs w:val="22"/>
        </w:rPr>
        <w:t>,</w:t>
      </w:r>
      <w:r w:rsidRPr="00521A02">
        <w:rPr>
          <w:rFonts w:ascii="Bookman Old Style" w:hAnsi="Bookman Old Style"/>
          <w:b/>
          <w:bCs/>
          <w:sz w:val="22"/>
          <w:szCs w:val="22"/>
        </w:rPr>
        <w:t xml:space="preserve"> comma 685)</w:t>
      </w:r>
      <w:bookmarkEnd w:id="59"/>
    </w:p>
    <w:p w14:paraId="6659B002" w14:textId="77777777" w:rsidR="00B00145" w:rsidRPr="00521A02" w:rsidRDefault="00B00145" w:rsidP="001C7960">
      <w:pPr>
        <w:spacing w:after="80"/>
        <w:jc w:val="both"/>
        <w:rPr>
          <w:rFonts w:ascii="Bookman Old Style" w:hAnsi="Bookman Old Style"/>
        </w:rPr>
      </w:pPr>
      <w:r w:rsidRPr="00521A02">
        <w:rPr>
          <w:rFonts w:ascii="Bookman Old Style" w:hAnsi="Bookman Old Style"/>
        </w:rPr>
        <w:t>La norma riguarda i poteri del Commissario per l’emergenza Sisma Ischia sull’assegnazioni contributi e opere di ricostruzione e rimodula le previsioni di spesa dei Commissari di altre emergenze.</w:t>
      </w:r>
    </w:p>
    <w:p w14:paraId="19C23CC8" w14:textId="77777777" w:rsidR="00B00145" w:rsidRPr="00521A02" w:rsidRDefault="00B00145" w:rsidP="001C7960">
      <w:pPr>
        <w:spacing w:after="80"/>
        <w:jc w:val="both"/>
        <w:rPr>
          <w:rFonts w:ascii="Bookman Old Style" w:hAnsi="Bookman Old Style"/>
        </w:rPr>
      </w:pPr>
      <w:r w:rsidRPr="00521A02">
        <w:rPr>
          <w:rFonts w:ascii="Bookman Old Style" w:hAnsi="Bookman Old Style"/>
        </w:rPr>
        <w:t>Stabilisce che il Commissario straordinario provveda a stabilire i criteri, le modalità e i termini per l’assegnazione del contributo in materia di assistenza della popolazione in stato di emergenza. Inoltre, lo stesso Commissario, fino al 31 dicembre 2025, individua con propria ordinanza gli interventi di ricostruzione privata e le opere pubbliche urgenti di messa in sicurezza idrogeologica. L’elenco di tali interventi e opere è comunicato al Presidente del Consiglio dei ministri, che può impartire direttive.</w:t>
      </w:r>
    </w:p>
    <w:p w14:paraId="4BA28864" w14:textId="77777777" w:rsidR="00B00145" w:rsidRPr="00521A02" w:rsidRDefault="00B00145" w:rsidP="001C7960">
      <w:pPr>
        <w:spacing w:after="80"/>
        <w:jc w:val="both"/>
        <w:rPr>
          <w:rFonts w:ascii="Bookman Old Style" w:hAnsi="Bookman Old Style"/>
        </w:rPr>
      </w:pPr>
      <w:r w:rsidRPr="00521A02">
        <w:rPr>
          <w:rFonts w:ascii="Bookman Old Style" w:hAnsi="Bookman Old Style"/>
        </w:rPr>
        <w:t>La spesa per i Commissari straordinari delle province di Campobasso e Catania viene ridotta da 2,83 milioni a 2,82 milioni di euro per il 2025, di cui: 1 milione 820mila euro sono a copertura degli oneri discendenti dal personale dei Comuni; 763.500 euro sono a copertura degli oneri discendenti dal Commissario per la ricostruzione della provincia di Catania; 263.500 euro sono a copertura del Commissario per la ricostruzione della provincia di Campobasso.</w:t>
      </w:r>
    </w:p>
    <w:p w14:paraId="355745F6" w14:textId="77777777" w:rsidR="00B00145" w:rsidRPr="00521A02" w:rsidRDefault="00B00145" w:rsidP="001C7960">
      <w:pPr>
        <w:spacing w:after="80"/>
        <w:jc w:val="both"/>
        <w:rPr>
          <w:rFonts w:ascii="Bookman Old Style" w:hAnsi="Bookman Old Style"/>
        </w:rPr>
      </w:pPr>
      <w:r w:rsidRPr="00521A02">
        <w:rPr>
          <w:rFonts w:ascii="Bookman Old Style" w:hAnsi="Bookman Old Style"/>
        </w:rPr>
        <w:t>Infine, aggiunge gli interventi locali tra gli interventi di ripristino che rientrano nel “contributo per il disagio abitativo finalizzato alla ricostruzione”.</w:t>
      </w:r>
    </w:p>
    <w:p w14:paraId="6B1262F4" w14:textId="77777777" w:rsidR="00B00145" w:rsidRPr="00521A02" w:rsidRDefault="00B00145" w:rsidP="001C7960">
      <w:pPr>
        <w:spacing w:after="80"/>
        <w:jc w:val="both"/>
        <w:rPr>
          <w:rFonts w:ascii="Bookman Old Style" w:hAnsi="Bookman Old Style"/>
        </w:rPr>
      </w:pPr>
    </w:p>
    <w:p w14:paraId="3B6B1A49" w14:textId="5E34317E" w:rsidR="00B00145" w:rsidRPr="00521A02" w:rsidRDefault="00B00145" w:rsidP="001C7960">
      <w:pPr>
        <w:pStyle w:val="Titolo2"/>
        <w:numPr>
          <w:ilvl w:val="0"/>
          <w:numId w:val="25"/>
        </w:numPr>
        <w:spacing w:before="0"/>
        <w:jc w:val="both"/>
        <w:rPr>
          <w:rFonts w:ascii="Bookman Old Style" w:hAnsi="Bookman Old Style"/>
          <w:b/>
          <w:bCs/>
          <w:sz w:val="22"/>
          <w:szCs w:val="22"/>
        </w:rPr>
      </w:pPr>
      <w:bookmarkStart w:id="60" w:name="_Toc185605246"/>
      <w:r w:rsidRPr="00521A02">
        <w:rPr>
          <w:rFonts w:ascii="Bookman Old Style" w:hAnsi="Bookman Old Style"/>
          <w:b/>
          <w:bCs/>
          <w:sz w:val="22"/>
          <w:szCs w:val="22"/>
        </w:rPr>
        <w:lastRenderedPageBreak/>
        <w:t>Contributo interventi conseguenti a</w:t>
      </w:r>
      <w:r w:rsidR="009979B5">
        <w:rPr>
          <w:rFonts w:ascii="Bookman Old Style" w:hAnsi="Bookman Old Style"/>
          <w:b/>
          <w:bCs/>
          <w:sz w:val="22"/>
          <w:szCs w:val="22"/>
        </w:rPr>
        <w:t>lle</w:t>
      </w:r>
      <w:r w:rsidRPr="00521A02">
        <w:rPr>
          <w:rFonts w:ascii="Bookman Old Style" w:hAnsi="Bookman Old Style"/>
          <w:b/>
          <w:bCs/>
          <w:sz w:val="22"/>
          <w:szCs w:val="22"/>
        </w:rPr>
        <w:t xml:space="preserve"> analisi </w:t>
      </w:r>
      <w:r w:rsidR="009979B5">
        <w:rPr>
          <w:rFonts w:ascii="Bookman Old Style" w:hAnsi="Bookman Old Style"/>
          <w:b/>
          <w:bCs/>
          <w:sz w:val="22"/>
          <w:szCs w:val="22"/>
        </w:rPr>
        <w:t xml:space="preserve">di </w:t>
      </w:r>
      <w:r w:rsidRPr="00521A02">
        <w:rPr>
          <w:rFonts w:ascii="Bookman Old Style" w:hAnsi="Bookman Old Style"/>
          <w:b/>
          <w:bCs/>
          <w:sz w:val="22"/>
          <w:szCs w:val="22"/>
        </w:rPr>
        <w:t>vulnerabilità sismica (Art.1, commi 694-70</w:t>
      </w:r>
      <w:r w:rsidR="008B7854" w:rsidRPr="00521A02">
        <w:rPr>
          <w:rFonts w:ascii="Bookman Old Style" w:hAnsi="Bookman Old Style"/>
          <w:b/>
          <w:bCs/>
          <w:sz w:val="22"/>
          <w:szCs w:val="22"/>
        </w:rPr>
        <w:t>3</w:t>
      </w:r>
      <w:r w:rsidRPr="00521A02">
        <w:rPr>
          <w:rFonts w:ascii="Bookman Old Style" w:hAnsi="Bookman Old Style"/>
          <w:b/>
          <w:bCs/>
          <w:sz w:val="22"/>
          <w:szCs w:val="22"/>
        </w:rPr>
        <w:t>)</w:t>
      </w:r>
      <w:bookmarkEnd w:id="60"/>
    </w:p>
    <w:p w14:paraId="16DC2EE0" w14:textId="1A63C048" w:rsidR="00B00145" w:rsidRDefault="00B00145" w:rsidP="001C7960">
      <w:pPr>
        <w:spacing w:after="80"/>
        <w:jc w:val="both"/>
        <w:rPr>
          <w:rFonts w:ascii="Bookman Old Style" w:hAnsi="Bookman Old Style"/>
        </w:rPr>
      </w:pPr>
      <w:r w:rsidRPr="00521A02">
        <w:rPr>
          <w:rFonts w:ascii="Bookman Old Style" w:hAnsi="Bookman Old Style"/>
        </w:rPr>
        <w:t xml:space="preserve">La norma autorizza la spesa di </w:t>
      </w:r>
      <w:r w:rsidRPr="00521A02">
        <w:rPr>
          <w:rFonts w:ascii="Bookman Old Style" w:hAnsi="Bookman Old Style"/>
          <w:b/>
          <w:bCs/>
        </w:rPr>
        <w:t>20 milioni di euro annui dal 2025 al 2029 per favorire la riduzione della vulnerabilità sismica</w:t>
      </w:r>
      <w:r w:rsidRPr="00521A02">
        <w:rPr>
          <w:rFonts w:ascii="Bookman Old Style" w:hAnsi="Bookman Old Style"/>
        </w:rPr>
        <w:t xml:space="preserve"> </w:t>
      </w:r>
      <w:r w:rsidRPr="00521A02">
        <w:rPr>
          <w:rFonts w:ascii="Bookman Old Style" w:hAnsi="Bookman Old Style"/>
          <w:b/>
          <w:bCs/>
        </w:rPr>
        <w:t>dell’edilizia privata che non è oggetto dei contributi per la ricostruzione post-calamità</w:t>
      </w:r>
      <w:r w:rsidRPr="00521A02">
        <w:rPr>
          <w:rFonts w:ascii="Bookman Old Style" w:hAnsi="Bookman Old Style"/>
        </w:rPr>
        <w:t xml:space="preserve">. Si specifica che le risorse sono destinate alla concessione di contributi per la realizzazione degli interventi di riqualificazione sismica </w:t>
      </w:r>
      <w:r w:rsidRPr="00521A02">
        <w:rPr>
          <w:rFonts w:ascii="Bookman Old Style" w:hAnsi="Bookman Old Style"/>
          <w:b/>
          <w:bCs/>
        </w:rPr>
        <w:t>in favore dei nuclei familiari la cui abitazione principale risulti di maggiore vulnerabilità sismica</w:t>
      </w:r>
      <w:r w:rsidRPr="00521A02">
        <w:rPr>
          <w:rFonts w:ascii="Bookman Old Style" w:hAnsi="Bookman Old Style"/>
        </w:rPr>
        <w:t xml:space="preserve">. Il contributo viene concesso per metro quadrato della superficie dell’edificio e non concorre alla formazione del reddito imponibile dei beneficiari ai fini dell’imposta sul reddito delle persone fisiche. Vengono inoltre stabilite le modalità di presentazione della domanda e la documentazione necessaria per il rilascio del titolo edilizio. Inoltre, in caso di interventi relativi a edifici con più unità immobiliari, la concessione del contributo è subordinata alla presentazione di un progetto unitario per l’intero edificio. I comuni istruiscono le domande e adottano il provvedimento decisorio entro 60 giorni dalla presentazione della domanda di contributo. I contributi in oggetto sono erogati al netto di eventuali ulteriori contributi pubblici di riqualificazione sismica. </w:t>
      </w:r>
      <w:r w:rsidRPr="00521A02">
        <w:rPr>
          <w:rFonts w:ascii="Bookman Old Style" w:hAnsi="Bookman Old Style"/>
          <w:b/>
          <w:bCs/>
        </w:rPr>
        <w:t>Inoltre, con decreto del Ministro per la protezione civile, di concentro con il MEF, vengono definiti: i criteri di riparto delle risorse tra i comuni interessati</w:t>
      </w:r>
      <w:r w:rsidRPr="00521A02">
        <w:rPr>
          <w:rFonts w:ascii="Bookman Old Style" w:hAnsi="Bookman Old Style"/>
        </w:rPr>
        <w:t xml:space="preserve">; </w:t>
      </w:r>
      <w:r w:rsidRPr="00521A02">
        <w:rPr>
          <w:rFonts w:ascii="Bookman Old Style" w:hAnsi="Bookman Old Style"/>
          <w:b/>
          <w:bCs/>
        </w:rPr>
        <w:t>le procedure</w:t>
      </w:r>
      <w:r w:rsidRPr="00521A02">
        <w:rPr>
          <w:rFonts w:ascii="Bookman Old Style" w:hAnsi="Bookman Old Style"/>
        </w:rPr>
        <w:t xml:space="preserve"> e i criteri di priorità nell’assegnazione dei contributi, le modalità di presentazione delle domande; i termini di conclusione degli interventi, i tempi e le modalità di rendicontazione da parte dei comuni. A tali oneri si provvede tramite l’autorizzazione di spesa </w:t>
      </w:r>
      <w:r w:rsidR="001902CB" w:rsidRPr="00521A02">
        <w:rPr>
          <w:rFonts w:ascii="Bookman Old Style" w:hAnsi="Bookman Old Style"/>
        </w:rPr>
        <w:t>prevista nel</w:t>
      </w:r>
      <w:r w:rsidRPr="00521A02">
        <w:rPr>
          <w:rFonts w:ascii="Bookman Old Style" w:hAnsi="Bookman Old Style"/>
        </w:rPr>
        <w:t xml:space="preserve"> Fondo del MEF in materia di finanziamento degli investimenti e lo sviluppo infrastrutturale del Paese. Infine, si prevede un </w:t>
      </w:r>
      <w:r w:rsidRPr="00521A02">
        <w:rPr>
          <w:rFonts w:ascii="Bookman Old Style" w:hAnsi="Bookman Old Style"/>
          <w:b/>
          <w:bCs/>
        </w:rPr>
        <w:t>incremento a 3 milioni 800mila euro per il 2025 dei fondi destinati alla Regione Campania per gli interventi di ripristino e riqualificazione sismica</w:t>
      </w:r>
      <w:r w:rsidRPr="00521A02">
        <w:rPr>
          <w:rFonts w:ascii="Bookman Old Style" w:hAnsi="Bookman Old Style"/>
        </w:rPr>
        <w:t xml:space="preserve"> finalizzati a garantire la continuità dell’attività scolastica. A tali oneri si provvede mediante riduzione delle risorse del Fondo per le emergenze nazionali per gli anni 2024 e 2025, a valere sull’autorizzazione di spesa nell'ambito del Programma straordinario di intervento per la riqualificazione urbana e la sicurezza delle periferie delle città metropolitane e dei comuni capoluogo di provincia. A tal fine, viene prorogata fino al 31 dicembre 2025 l'apertura di un'apposita contabilità speciale, presso la Tesoreria dello Stato, intestata al soggetto competente individuato, al proprio interno, dalla regione Campania. </w:t>
      </w:r>
    </w:p>
    <w:p w14:paraId="392CC647" w14:textId="77777777" w:rsidR="00AB711C" w:rsidRPr="00521A02" w:rsidRDefault="00AB711C" w:rsidP="001C7960">
      <w:pPr>
        <w:spacing w:after="80"/>
        <w:jc w:val="both"/>
        <w:rPr>
          <w:rFonts w:ascii="Bookman Old Style" w:hAnsi="Bookman Old Style"/>
        </w:rPr>
      </w:pPr>
    </w:p>
    <w:p w14:paraId="2E831245" w14:textId="71AB74DE" w:rsidR="00B00145" w:rsidRPr="00521A02" w:rsidRDefault="00B00145" w:rsidP="001C7960">
      <w:pPr>
        <w:pStyle w:val="Titolo2"/>
        <w:numPr>
          <w:ilvl w:val="0"/>
          <w:numId w:val="27"/>
        </w:numPr>
        <w:spacing w:before="0"/>
        <w:rPr>
          <w:rFonts w:ascii="Bookman Old Style" w:hAnsi="Bookman Old Style"/>
          <w:b/>
          <w:bCs/>
          <w:sz w:val="22"/>
          <w:szCs w:val="22"/>
        </w:rPr>
      </w:pPr>
      <w:bookmarkStart w:id="61" w:name="_Toc185605247"/>
      <w:r w:rsidRPr="00521A02">
        <w:rPr>
          <w:rFonts w:ascii="Bookman Old Style" w:hAnsi="Bookman Old Style"/>
          <w:b/>
          <w:bCs/>
          <w:sz w:val="22"/>
          <w:szCs w:val="22"/>
        </w:rPr>
        <w:t>Rimessa in efficienza opere idrauliche (Art. 1, commi 70</w:t>
      </w:r>
      <w:r w:rsidR="00B72B18" w:rsidRPr="00521A02">
        <w:rPr>
          <w:rFonts w:ascii="Bookman Old Style" w:hAnsi="Bookman Old Style"/>
          <w:b/>
          <w:bCs/>
          <w:sz w:val="22"/>
          <w:szCs w:val="22"/>
        </w:rPr>
        <w:t>8</w:t>
      </w:r>
      <w:r w:rsidRPr="00521A02">
        <w:rPr>
          <w:rFonts w:ascii="Bookman Old Style" w:hAnsi="Bookman Old Style"/>
          <w:b/>
          <w:bCs/>
          <w:sz w:val="22"/>
          <w:szCs w:val="22"/>
        </w:rPr>
        <w:t>)</w:t>
      </w:r>
      <w:bookmarkEnd w:id="61"/>
    </w:p>
    <w:p w14:paraId="7560B4FC" w14:textId="5A7DBBD8" w:rsidR="00B00145" w:rsidRDefault="00B00145" w:rsidP="001C7960">
      <w:pPr>
        <w:spacing w:after="80"/>
        <w:jc w:val="both"/>
        <w:rPr>
          <w:rFonts w:ascii="Bookman Old Style" w:hAnsi="Bookman Old Style"/>
        </w:rPr>
      </w:pPr>
      <w:r w:rsidRPr="00521A02">
        <w:rPr>
          <w:rFonts w:ascii="Bookman Old Style" w:hAnsi="Bookman Old Style"/>
        </w:rPr>
        <w:t xml:space="preserve">La norma dispone il rifinanziamento per </w:t>
      </w:r>
      <w:r w:rsidRPr="00521A02">
        <w:rPr>
          <w:rFonts w:ascii="Bookman Old Style" w:hAnsi="Bookman Old Style"/>
          <w:b/>
          <w:bCs/>
        </w:rPr>
        <w:t xml:space="preserve">1 milione di euro annui per ciascuno degli anni 2025 e 2026 e per 2 milioni di euro per il 2027 </w:t>
      </w:r>
      <w:r w:rsidRPr="00521A02">
        <w:rPr>
          <w:rFonts w:ascii="Bookman Old Style" w:hAnsi="Bookman Old Style"/>
        </w:rPr>
        <w:t>del Fondo per il finanziamento della progettazione degli interventi di rimessa in efficienza delle opere idrauliche e di recupero e miglioramento della funzionalità idraulica dei reticoli idrografici. Ai relativi oneri si provvede mediante riduzione del Fondo esigenze indifferibili.</w:t>
      </w:r>
    </w:p>
    <w:p w14:paraId="361868AA" w14:textId="77777777" w:rsidR="00AB711C" w:rsidRPr="00521A02" w:rsidRDefault="00AB711C" w:rsidP="001C7960">
      <w:pPr>
        <w:spacing w:after="80"/>
        <w:jc w:val="both"/>
        <w:rPr>
          <w:rFonts w:ascii="Bookman Old Style" w:hAnsi="Bookman Old Style"/>
        </w:rPr>
      </w:pPr>
    </w:p>
    <w:p w14:paraId="59355994" w14:textId="77777777" w:rsidR="00B00145" w:rsidRPr="00521A02" w:rsidRDefault="00B00145" w:rsidP="001C7960">
      <w:pPr>
        <w:pStyle w:val="Titolo2"/>
        <w:numPr>
          <w:ilvl w:val="0"/>
          <w:numId w:val="26"/>
        </w:numPr>
        <w:spacing w:before="0"/>
        <w:rPr>
          <w:rFonts w:ascii="Bookman Old Style" w:hAnsi="Bookman Old Style"/>
          <w:b/>
          <w:bCs/>
          <w:sz w:val="22"/>
          <w:szCs w:val="22"/>
        </w:rPr>
      </w:pPr>
      <w:bookmarkStart w:id="62" w:name="_Toc185605248"/>
      <w:r w:rsidRPr="00521A02">
        <w:rPr>
          <w:rFonts w:ascii="Bookman Old Style" w:hAnsi="Bookman Old Style"/>
          <w:b/>
          <w:bCs/>
          <w:sz w:val="22"/>
          <w:szCs w:val="22"/>
        </w:rPr>
        <w:t>Fondo per la valorizzazione del mare (Art.1, comma 725)</w:t>
      </w:r>
      <w:bookmarkEnd w:id="62"/>
    </w:p>
    <w:p w14:paraId="6EBA7B53" w14:textId="77777777" w:rsidR="00B00145" w:rsidRPr="00521A02" w:rsidRDefault="00B00145" w:rsidP="001C7960">
      <w:pPr>
        <w:spacing w:after="80"/>
        <w:jc w:val="both"/>
        <w:rPr>
          <w:rFonts w:ascii="Bookman Old Style" w:hAnsi="Bookman Old Style"/>
        </w:rPr>
      </w:pPr>
      <w:r w:rsidRPr="00521A02">
        <w:rPr>
          <w:rFonts w:ascii="Bookman Old Style" w:hAnsi="Bookman Old Style"/>
        </w:rPr>
        <w:t>La norma prevede l’istituzione di un fondo</w:t>
      </w:r>
      <w:r w:rsidRPr="00521A02">
        <w:rPr>
          <w:rFonts w:ascii="Bookman Old Style" w:hAnsi="Bookman Old Style"/>
          <w:b/>
          <w:bCs/>
        </w:rPr>
        <w:t xml:space="preserve"> con risorse pari a 3 milioni di euro per il 2025 e di 5 milioni di euro annui per gli anni successivi, volto alla valorizzazione dei mari, degli oceani, della biodiversità e dell'uso sostenibile delle risorse marine</w:t>
      </w:r>
      <w:r w:rsidRPr="00521A02">
        <w:rPr>
          <w:rFonts w:ascii="Bookman Old Style" w:hAnsi="Bookman Old Style"/>
        </w:rPr>
        <w:t>. I settori di intervento ammissibili e i criteri per il riparto saranno definiti con decreto della Presidenza o del Ministero del Mare, in accordo con il MEF e sentito il CIPO.</w:t>
      </w:r>
    </w:p>
    <w:p w14:paraId="5C60B7CF" w14:textId="77777777" w:rsidR="00E720FE" w:rsidRPr="00521A02" w:rsidRDefault="00E720FE" w:rsidP="001C7960">
      <w:pPr>
        <w:spacing w:after="80"/>
        <w:jc w:val="both"/>
        <w:rPr>
          <w:rFonts w:ascii="Bookman Old Style" w:hAnsi="Bookman Old Style"/>
          <w:b/>
          <w:bCs/>
        </w:rPr>
      </w:pPr>
    </w:p>
    <w:p w14:paraId="16349626" w14:textId="77777777" w:rsidR="00182ACA" w:rsidRPr="00521A02" w:rsidRDefault="00182ACA" w:rsidP="001C7960">
      <w:pPr>
        <w:spacing w:after="80"/>
        <w:rPr>
          <w:rFonts w:ascii="Bookman Old Style" w:hAnsi="Bookman Old Style"/>
        </w:rPr>
      </w:pPr>
    </w:p>
    <w:p w14:paraId="4F367360" w14:textId="77777777" w:rsidR="00182ACA" w:rsidRPr="00521A02" w:rsidRDefault="00182ACA" w:rsidP="001C7960">
      <w:pPr>
        <w:spacing w:after="80"/>
        <w:jc w:val="both"/>
        <w:rPr>
          <w:rFonts w:ascii="Bookman Old Style" w:hAnsi="Bookman Old Style"/>
          <w:b/>
          <w:bCs/>
        </w:rPr>
      </w:pPr>
    </w:p>
    <w:p w14:paraId="4F5BD70D" w14:textId="77777777" w:rsidR="00F3794D" w:rsidRPr="00521A02" w:rsidRDefault="00F3794D" w:rsidP="001C7960">
      <w:pPr>
        <w:spacing w:after="80"/>
        <w:jc w:val="both"/>
        <w:rPr>
          <w:rFonts w:ascii="Bookman Old Style" w:hAnsi="Bookman Old Style"/>
          <w:b/>
          <w:bCs/>
        </w:rPr>
      </w:pPr>
    </w:p>
    <w:sectPr w:rsidR="00F3794D" w:rsidRPr="00521A02">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6AA4B" w14:textId="77777777" w:rsidR="007D1D78" w:rsidRDefault="007D1D78" w:rsidP="00634624">
      <w:pPr>
        <w:spacing w:after="0" w:line="240" w:lineRule="auto"/>
      </w:pPr>
      <w:r>
        <w:separator/>
      </w:r>
    </w:p>
  </w:endnote>
  <w:endnote w:type="continuationSeparator" w:id="0">
    <w:p w14:paraId="26D91D62" w14:textId="77777777" w:rsidR="007D1D78" w:rsidRDefault="007D1D78" w:rsidP="00634624">
      <w:pPr>
        <w:spacing w:after="0" w:line="240" w:lineRule="auto"/>
      </w:pPr>
      <w:r>
        <w:continuationSeparator/>
      </w:r>
    </w:p>
  </w:endnote>
  <w:endnote w:type="continuationNotice" w:id="1">
    <w:p w14:paraId="75BA68B9" w14:textId="77777777" w:rsidR="007D1D78" w:rsidRDefault="007D1D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IDFont+F2">
    <w:altName w:val="Calibri"/>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407480"/>
      <w:docPartObj>
        <w:docPartGallery w:val="Page Numbers (Bottom of Page)"/>
        <w:docPartUnique/>
      </w:docPartObj>
    </w:sdtPr>
    <w:sdtEndPr/>
    <w:sdtContent>
      <w:p w14:paraId="1F7FB070" w14:textId="49DAD390" w:rsidR="00634624" w:rsidRDefault="00634624">
        <w:pPr>
          <w:pStyle w:val="Pidipagina"/>
          <w:jc w:val="center"/>
        </w:pPr>
        <w:r>
          <w:fldChar w:fldCharType="begin"/>
        </w:r>
        <w:r>
          <w:instrText>PAGE   \* MERGEFORMAT</w:instrText>
        </w:r>
        <w:r>
          <w:fldChar w:fldCharType="separate"/>
        </w:r>
        <w:r>
          <w:t>2</w:t>
        </w:r>
        <w:r>
          <w:fldChar w:fldCharType="end"/>
        </w:r>
      </w:p>
    </w:sdtContent>
  </w:sdt>
  <w:p w14:paraId="1AE428DC" w14:textId="77777777" w:rsidR="00634624" w:rsidRDefault="006346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11D5D" w14:textId="77777777" w:rsidR="007D1D78" w:rsidRDefault="007D1D78" w:rsidP="00634624">
      <w:pPr>
        <w:spacing w:after="0" w:line="240" w:lineRule="auto"/>
      </w:pPr>
      <w:r>
        <w:separator/>
      </w:r>
    </w:p>
  </w:footnote>
  <w:footnote w:type="continuationSeparator" w:id="0">
    <w:p w14:paraId="10C4707F" w14:textId="77777777" w:rsidR="007D1D78" w:rsidRDefault="007D1D78" w:rsidP="00634624">
      <w:pPr>
        <w:spacing w:after="0" w:line="240" w:lineRule="auto"/>
      </w:pPr>
      <w:r>
        <w:continuationSeparator/>
      </w:r>
    </w:p>
  </w:footnote>
  <w:footnote w:type="continuationNotice" w:id="1">
    <w:p w14:paraId="6FB4B109" w14:textId="77777777" w:rsidR="007D1D78" w:rsidRDefault="007D1D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360"/>
    <w:multiLevelType w:val="hybridMultilevel"/>
    <w:tmpl w:val="5E7E5C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194C1C"/>
    <w:multiLevelType w:val="hybridMultilevel"/>
    <w:tmpl w:val="4A60B3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2165A6"/>
    <w:multiLevelType w:val="hybridMultilevel"/>
    <w:tmpl w:val="CE60CD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832FE8"/>
    <w:multiLevelType w:val="hybridMultilevel"/>
    <w:tmpl w:val="12ACD1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3F05E8"/>
    <w:multiLevelType w:val="hybridMultilevel"/>
    <w:tmpl w:val="74FAF6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500D4C"/>
    <w:multiLevelType w:val="hybridMultilevel"/>
    <w:tmpl w:val="B7C6D2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DA3FB4"/>
    <w:multiLevelType w:val="hybridMultilevel"/>
    <w:tmpl w:val="3AB0DE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ED0C27"/>
    <w:multiLevelType w:val="multilevel"/>
    <w:tmpl w:val="ECE829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D0638D"/>
    <w:multiLevelType w:val="multilevel"/>
    <w:tmpl w:val="A2646F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4F704A"/>
    <w:multiLevelType w:val="hybridMultilevel"/>
    <w:tmpl w:val="6ED8BA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884C70"/>
    <w:multiLevelType w:val="hybridMultilevel"/>
    <w:tmpl w:val="FBE8B6C4"/>
    <w:lvl w:ilvl="0" w:tplc="93A6D5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B97FE7"/>
    <w:multiLevelType w:val="hybridMultilevel"/>
    <w:tmpl w:val="139EDC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F865A0"/>
    <w:multiLevelType w:val="hybridMultilevel"/>
    <w:tmpl w:val="FA123E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B0776"/>
    <w:multiLevelType w:val="multilevel"/>
    <w:tmpl w:val="F606D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5A7A6A"/>
    <w:multiLevelType w:val="hybridMultilevel"/>
    <w:tmpl w:val="EA7660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25624D"/>
    <w:multiLevelType w:val="hybridMultilevel"/>
    <w:tmpl w:val="C1ECED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624AA5"/>
    <w:multiLevelType w:val="multilevel"/>
    <w:tmpl w:val="AF6E9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985FB4"/>
    <w:multiLevelType w:val="hybridMultilevel"/>
    <w:tmpl w:val="8398F4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011969"/>
    <w:multiLevelType w:val="hybridMultilevel"/>
    <w:tmpl w:val="EC4824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AB674D"/>
    <w:multiLevelType w:val="hybridMultilevel"/>
    <w:tmpl w:val="9FBA3D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9A4FAD"/>
    <w:multiLevelType w:val="hybridMultilevel"/>
    <w:tmpl w:val="C79A1A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D63CE1"/>
    <w:multiLevelType w:val="hybridMultilevel"/>
    <w:tmpl w:val="79C85C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A1173B"/>
    <w:multiLevelType w:val="hybridMultilevel"/>
    <w:tmpl w:val="CAA4B1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324E83"/>
    <w:multiLevelType w:val="hybridMultilevel"/>
    <w:tmpl w:val="57968C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7714435"/>
    <w:multiLevelType w:val="hybridMultilevel"/>
    <w:tmpl w:val="759C61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251F20"/>
    <w:multiLevelType w:val="hybridMultilevel"/>
    <w:tmpl w:val="69B6F3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9416EE"/>
    <w:multiLevelType w:val="multilevel"/>
    <w:tmpl w:val="C958D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0E4C32"/>
    <w:multiLevelType w:val="hybridMultilevel"/>
    <w:tmpl w:val="291468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3DB2736"/>
    <w:multiLevelType w:val="multilevel"/>
    <w:tmpl w:val="DA0CA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5B1863"/>
    <w:multiLevelType w:val="hybridMultilevel"/>
    <w:tmpl w:val="849613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EC4210"/>
    <w:multiLevelType w:val="hybridMultilevel"/>
    <w:tmpl w:val="60946B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2A32BC"/>
    <w:multiLevelType w:val="hybridMultilevel"/>
    <w:tmpl w:val="319C75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1F2C1F"/>
    <w:multiLevelType w:val="hybridMultilevel"/>
    <w:tmpl w:val="CE80AA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4983D92"/>
    <w:multiLevelType w:val="hybridMultilevel"/>
    <w:tmpl w:val="A6860B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140AE5"/>
    <w:multiLevelType w:val="multilevel"/>
    <w:tmpl w:val="37088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B532FD"/>
    <w:multiLevelType w:val="hybridMultilevel"/>
    <w:tmpl w:val="26B8DA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770550"/>
    <w:multiLevelType w:val="multilevel"/>
    <w:tmpl w:val="E4E49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E80508F"/>
    <w:multiLevelType w:val="hybridMultilevel"/>
    <w:tmpl w:val="55A4CBC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5319697">
    <w:abstractNumId w:val="29"/>
  </w:num>
  <w:num w:numId="2" w16cid:durableId="852496703">
    <w:abstractNumId w:val="19"/>
  </w:num>
  <w:num w:numId="3" w16cid:durableId="1253584189">
    <w:abstractNumId w:val="11"/>
  </w:num>
  <w:num w:numId="4" w16cid:durableId="1208761013">
    <w:abstractNumId w:val="37"/>
  </w:num>
  <w:num w:numId="5" w16cid:durableId="852572306">
    <w:abstractNumId w:val="30"/>
  </w:num>
  <w:num w:numId="6" w16cid:durableId="693386145">
    <w:abstractNumId w:val="27"/>
  </w:num>
  <w:num w:numId="7" w16cid:durableId="705984000">
    <w:abstractNumId w:val="6"/>
  </w:num>
  <w:num w:numId="8" w16cid:durableId="1953391340">
    <w:abstractNumId w:val="21"/>
  </w:num>
  <w:num w:numId="9" w16cid:durableId="1787120033">
    <w:abstractNumId w:val="31"/>
  </w:num>
  <w:num w:numId="10" w16cid:durableId="1549873363">
    <w:abstractNumId w:val="14"/>
  </w:num>
  <w:num w:numId="11" w16cid:durableId="1069154554">
    <w:abstractNumId w:val="3"/>
  </w:num>
  <w:num w:numId="12" w16cid:durableId="1556772704">
    <w:abstractNumId w:val="25"/>
  </w:num>
  <w:num w:numId="13" w16cid:durableId="1114594341">
    <w:abstractNumId w:val="20"/>
  </w:num>
  <w:num w:numId="14" w16cid:durableId="866060987">
    <w:abstractNumId w:val="22"/>
  </w:num>
  <w:num w:numId="15" w16cid:durableId="887306548">
    <w:abstractNumId w:val="12"/>
  </w:num>
  <w:num w:numId="16" w16cid:durableId="1098797792">
    <w:abstractNumId w:val="1"/>
  </w:num>
  <w:num w:numId="17" w16cid:durableId="661128314">
    <w:abstractNumId w:val="33"/>
  </w:num>
  <w:num w:numId="18" w16cid:durableId="1239174519">
    <w:abstractNumId w:val="2"/>
  </w:num>
  <w:num w:numId="19" w16cid:durableId="816261218">
    <w:abstractNumId w:val="0"/>
  </w:num>
  <w:num w:numId="20" w16cid:durableId="1600943290">
    <w:abstractNumId w:val="18"/>
  </w:num>
  <w:num w:numId="21" w16cid:durableId="864565561">
    <w:abstractNumId w:val="32"/>
  </w:num>
  <w:num w:numId="22" w16cid:durableId="2024092169">
    <w:abstractNumId w:val="9"/>
  </w:num>
  <w:num w:numId="23" w16cid:durableId="1832866806">
    <w:abstractNumId w:val="24"/>
  </w:num>
  <w:num w:numId="24" w16cid:durableId="412708376">
    <w:abstractNumId w:val="23"/>
  </w:num>
  <w:num w:numId="25" w16cid:durableId="1353259813">
    <w:abstractNumId w:val="5"/>
  </w:num>
  <w:num w:numId="26" w16cid:durableId="1480996875">
    <w:abstractNumId w:val="15"/>
  </w:num>
  <w:num w:numId="27" w16cid:durableId="585769630">
    <w:abstractNumId w:val="17"/>
  </w:num>
  <w:num w:numId="28" w16cid:durableId="889338962">
    <w:abstractNumId w:val="25"/>
  </w:num>
  <w:num w:numId="29" w16cid:durableId="1456293107">
    <w:abstractNumId w:val="7"/>
  </w:num>
  <w:num w:numId="30" w16cid:durableId="1165827432">
    <w:abstractNumId w:val="28"/>
  </w:num>
  <w:num w:numId="31" w16cid:durableId="1543784693">
    <w:abstractNumId w:val="16"/>
  </w:num>
  <w:num w:numId="32" w16cid:durableId="2108847141">
    <w:abstractNumId w:val="26"/>
  </w:num>
  <w:num w:numId="33" w16cid:durableId="8579364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14009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4795252">
    <w:abstractNumId w:val="13"/>
  </w:num>
  <w:num w:numId="36" w16cid:durableId="1894466338">
    <w:abstractNumId w:val="34"/>
  </w:num>
  <w:num w:numId="37" w16cid:durableId="30618962">
    <w:abstractNumId w:val="10"/>
  </w:num>
  <w:num w:numId="38" w16cid:durableId="1588804915">
    <w:abstractNumId w:val="4"/>
  </w:num>
  <w:num w:numId="39" w16cid:durableId="15788576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removePersonalInformation/>
  <w:removeDateAndTim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C9"/>
    <w:rsid w:val="000026A8"/>
    <w:rsid w:val="00017E28"/>
    <w:rsid w:val="00022634"/>
    <w:rsid w:val="00030F7B"/>
    <w:rsid w:val="000329B4"/>
    <w:rsid w:val="000338BC"/>
    <w:rsid w:val="00035713"/>
    <w:rsid w:val="000407B1"/>
    <w:rsid w:val="0004176B"/>
    <w:rsid w:val="000530B5"/>
    <w:rsid w:val="00055A4F"/>
    <w:rsid w:val="00062FF1"/>
    <w:rsid w:val="00063EB5"/>
    <w:rsid w:val="00064A10"/>
    <w:rsid w:val="00067C75"/>
    <w:rsid w:val="00073255"/>
    <w:rsid w:val="00075DD1"/>
    <w:rsid w:val="00082736"/>
    <w:rsid w:val="00082EED"/>
    <w:rsid w:val="000847AD"/>
    <w:rsid w:val="000905C8"/>
    <w:rsid w:val="000945FE"/>
    <w:rsid w:val="00095BA5"/>
    <w:rsid w:val="00097DDF"/>
    <w:rsid w:val="000A0F82"/>
    <w:rsid w:val="000A54C6"/>
    <w:rsid w:val="000A7E65"/>
    <w:rsid w:val="000B45CA"/>
    <w:rsid w:val="000B47E1"/>
    <w:rsid w:val="000C6B5A"/>
    <w:rsid w:val="000C7BFD"/>
    <w:rsid w:val="000E1211"/>
    <w:rsid w:val="000E2E6C"/>
    <w:rsid w:val="000E34FF"/>
    <w:rsid w:val="000E400D"/>
    <w:rsid w:val="000E6075"/>
    <w:rsid w:val="000F527A"/>
    <w:rsid w:val="00103D6D"/>
    <w:rsid w:val="00121451"/>
    <w:rsid w:val="00121D1C"/>
    <w:rsid w:val="001304EC"/>
    <w:rsid w:val="00132248"/>
    <w:rsid w:val="00140B42"/>
    <w:rsid w:val="00147432"/>
    <w:rsid w:val="00153100"/>
    <w:rsid w:val="0015664C"/>
    <w:rsid w:val="00160034"/>
    <w:rsid w:val="00164A12"/>
    <w:rsid w:val="0016560B"/>
    <w:rsid w:val="00166632"/>
    <w:rsid w:val="00172295"/>
    <w:rsid w:val="0017424F"/>
    <w:rsid w:val="00175367"/>
    <w:rsid w:val="00176C2C"/>
    <w:rsid w:val="00177B3D"/>
    <w:rsid w:val="00180831"/>
    <w:rsid w:val="00182ACA"/>
    <w:rsid w:val="00186346"/>
    <w:rsid w:val="001902CB"/>
    <w:rsid w:val="00192FFA"/>
    <w:rsid w:val="00195F44"/>
    <w:rsid w:val="001A0293"/>
    <w:rsid w:val="001A588A"/>
    <w:rsid w:val="001A5A67"/>
    <w:rsid w:val="001A76B2"/>
    <w:rsid w:val="001A7891"/>
    <w:rsid w:val="001B2AE8"/>
    <w:rsid w:val="001B6F60"/>
    <w:rsid w:val="001C1448"/>
    <w:rsid w:val="001C3B6E"/>
    <w:rsid w:val="001C7960"/>
    <w:rsid w:val="001D35C6"/>
    <w:rsid w:val="001D46AF"/>
    <w:rsid w:val="001E095F"/>
    <w:rsid w:val="001E2A9A"/>
    <w:rsid w:val="001E39A8"/>
    <w:rsid w:val="001E5D48"/>
    <w:rsid w:val="001E76A9"/>
    <w:rsid w:val="001F027D"/>
    <w:rsid w:val="001F1652"/>
    <w:rsid w:val="001F440B"/>
    <w:rsid w:val="001F46CA"/>
    <w:rsid w:val="001F5041"/>
    <w:rsid w:val="001F60BA"/>
    <w:rsid w:val="002008BB"/>
    <w:rsid w:val="00203B12"/>
    <w:rsid w:val="0021020F"/>
    <w:rsid w:val="00212070"/>
    <w:rsid w:val="0021487B"/>
    <w:rsid w:val="00215ECD"/>
    <w:rsid w:val="002179CC"/>
    <w:rsid w:val="002228D9"/>
    <w:rsid w:val="00227405"/>
    <w:rsid w:val="00232F0E"/>
    <w:rsid w:val="00236A7E"/>
    <w:rsid w:val="00237627"/>
    <w:rsid w:val="00240E6F"/>
    <w:rsid w:val="00241492"/>
    <w:rsid w:val="00244416"/>
    <w:rsid w:val="00247CC2"/>
    <w:rsid w:val="00261047"/>
    <w:rsid w:val="00262C5A"/>
    <w:rsid w:val="002657B1"/>
    <w:rsid w:val="002661E7"/>
    <w:rsid w:val="00280C76"/>
    <w:rsid w:val="00282E15"/>
    <w:rsid w:val="00284765"/>
    <w:rsid w:val="002A06D3"/>
    <w:rsid w:val="002A56A8"/>
    <w:rsid w:val="002A76BF"/>
    <w:rsid w:val="002B3FDC"/>
    <w:rsid w:val="002B6500"/>
    <w:rsid w:val="002C0F33"/>
    <w:rsid w:val="002C3012"/>
    <w:rsid w:val="002D28CF"/>
    <w:rsid w:val="002D5A97"/>
    <w:rsid w:val="002D5C2A"/>
    <w:rsid w:val="002E1BA6"/>
    <w:rsid w:val="002E2D60"/>
    <w:rsid w:val="002E3B84"/>
    <w:rsid w:val="002F176A"/>
    <w:rsid w:val="002F1912"/>
    <w:rsid w:val="002F4C5A"/>
    <w:rsid w:val="002F54D0"/>
    <w:rsid w:val="003071D8"/>
    <w:rsid w:val="00310B76"/>
    <w:rsid w:val="0031229B"/>
    <w:rsid w:val="0032324C"/>
    <w:rsid w:val="00331588"/>
    <w:rsid w:val="00332CCC"/>
    <w:rsid w:val="003343D6"/>
    <w:rsid w:val="00336D8F"/>
    <w:rsid w:val="00346793"/>
    <w:rsid w:val="00350C91"/>
    <w:rsid w:val="00365A45"/>
    <w:rsid w:val="003660CA"/>
    <w:rsid w:val="0036680C"/>
    <w:rsid w:val="00366A0B"/>
    <w:rsid w:val="00367883"/>
    <w:rsid w:val="00367CE5"/>
    <w:rsid w:val="00371370"/>
    <w:rsid w:val="00374666"/>
    <w:rsid w:val="0037519A"/>
    <w:rsid w:val="00376DB3"/>
    <w:rsid w:val="0037791A"/>
    <w:rsid w:val="00393B8D"/>
    <w:rsid w:val="003975C9"/>
    <w:rsid w:val="00397B0B"/>
    <w:rsid w:val="003A2864"/>
    <w:rsid w:val="003A367F"/>
    <w:rsid w:val="003A5B01"/>
    <w:rsid w:val="003A6ABD"/>
    <w:rsid w:val="003B024F"/>
    <w:rsid w:val="003B0A2E"/>
    <w:rsid w:val="003B372E"/>
    <w:rsid w:val="003B3DF2"/>
    <w:rsid w:val="003B6692"/>
    <w:rsid w:val="003B68D6"/>
    <w:rsid w:val="003C3C8F"/>
    <w:rsid w:val="003C50A6"/>
    <w:rsid w:val="003C7BC3"/>
    <w:rsid w:val="003D1A1E"/>
    <w:rsid w:val="003D21C5"/>
    <w:rsid w:val="003D23B4"/>
    <w:rsid w:val="003D3747"/>
    <w:rsid w:val="003D56C4"/>
    <w:rsid w:val="003D76CA"/>
    <w:rsid w:val="003E03BC"/>
    <w:rsid w:val="003E1936"/>
    <w:rsid w:val="003E550E"/>
    <w:rsid w:val="003E6211"/>
    <w:rsid w:val="003E6DEE"/>
    <w:rsid w:val="003F4779"/>
    <w:rsid w:val="00400B1F"/>
    <w:rsid w:val="00401603"/>
    <w:rsid w:val="00404151"/>
    <w:rsid w:val="00411E21"/>
    <w:rsid w:val="004151E0"/>
    <w:rsid w:val="00415501"/>
    <w:rsid w:val="00420DEB"/>
    <w:rsid w:val="004269EF"/>
    <w:rsid w:val="0043012F"/>
    <w:rsid w:val="00430DB7"/>
    <w:rsid w:val="0044157D"/>
    <w:rsid w:val="00441E33"/>
    <w:rsid w:val="00443625"/>
    <w:rsid w:val="004459B8"/>
    <w:rsid w:val="00445B8D"/>
    <w:rsid w:val="004505F5"/>
    <w:rsid w:val="0045335F"/>
    <w:rsid w:val="0046338A"/>
    <w:rsid w:val="00473485"/>
    <w:rsid w:val="00476CF7"/>
    <w:rsid w:val="00481417"/>
    <w:rsid w:val="00482995"/>
    <w:rsid w:val="00485DAA"/>
    <w:rsid w:val="00486DCB"/>
    <w:rsid w:val="0048759C"/>
    <w:rsid w:val="00490367"/>
    <w:rsid w:val="0049128F"/>
    <w:rsid w:val="00492A7F"/>
    <w:rsid w:val="00493143"/>
    <w:rsid w:val="004939D1"/>
    <w:rsid w:val="0049556B"/>
    <w:rsid w:val="004A064F"/>
    <w:rsid w:val="004A7C46"/>
    <w:rsid w:val="004C0EBE"/>
    <w:rsid w:val="004C1861"/>
    <w:rsid w:val="004C191A"/>
    <w:rsid w:val="004D0FA3"/>
    <w:rsid w:val="004D28AA"/>
    <w:rsid w:val="004D4FDB"/>
    <w:rsid w:val="004D569C"/>
    <w:rsid w:val="004E0BE7"/>
    <w:rsid w:val="004E1CBC"/>
    <w:rsid w:val="004E7DFA"/>
    <w:rsid w:val="004E7FBD"/>
    <w:rsid w:val="004F7047"/>
    <w:rsid w:val="00500F23"/>
    <w:rsid w:val="00503A32"/>
    <w:rsid w:val="00511FA0"/>
    <w:rsid w:val="0051334E"/>
    <w:rsid w:val="005165D9"/>
    <w:rsid w:val="00516FDE"/>
    <w:rsid w:val="0052012C"/>
    <w:rsid w:val="00521212"/>
    <w:rsid w:val="00521A02"/>
    <w:rsid w:val="00525173"/>
    <w:rsid w:val="00525A44"/>
    <w:rsid w:val="005309D8"/>
    <w:rsid w:val="0053610B"/>
    <w:rsid w:val="00540F1F"/>
    <w:rsid w:val="00550BD8"/>
    <w:rsid w:val="00554C56"/>
    <w:rsid w:val="00555DD9"/>
    <w:rsid w:val="00556854"/>
    <w:rsid w:val="005643E0"/>
    <w:rsid w:val="005652DA"/>
    <w:rsid w:val="005674E5"/>
    <w:rsid w:val="00573689"/>
    <w:rsid w:val="005839C8"/>
    <w:rsid w:val="00590E60"/>
    <w:rsid w:val="00592DC1"/>
    <w:rsid w:val="005968E5"/>
    <w:rsid w:val="005B02F8"/>
    <w:rsid w:val="005B23D3"/>
    <w:rsid w:val="005B26BA"/>
    <w:rsid w:val="005B5168"/>
    <w:rsid w:val="005B5598"/>
    <w:rsid w:val="005B75CE"/>
    <w:rsid w:val="005B7BB2"/>
    <w:rsid w:val="005C13F3"/>
    <w:rsid w:val="005C2206"/>
    <w:rsid w:val="005C4681"/>
    <w:rsid w:val="005C7301"/>
    <w:rsid w:val="005D1A7D"/>
    <w:rsid w:val="005D3CEA"/>
    <w:rsid w:val="005D70DE"/>
    <w:rsid w:val="005E18A3"/>
    <w:rsid w:val="005E4AAC"/>
    <w:rsid w:val="005E6057"/>
    <w:rsid w:val="005E7BBC"/>
    <w:rsid w:val="005F636F"/>
    <w:rsid w:val="00601319"/>
    <w:rsid w:val="00603125"/>
    <w:rsid w:val="0061022C"/>
    <w:rsid w:val="0061114C"/>
    <w:rsid w:val="00612A77"/>
    <w:rsid w:val="00621ACB"/>
    <w:rsid w:val="00623B78"/>
    <w:rsid w:val="00623C00"/>
    <w:rsid w:val="00627E34"/>
    <w:rsid w:val="00630EDD"/>
    <w:rsid w:val="00634624"/>
    <w:rsid w:val="00635D7E"/>
    <w:rsid w:val="00636514"/>
    <w:rsid w:val="00640277"/>
    <w:rsid w:val="00645ADC"/>
    <w:rsid w:val="00651B73"/>
    <w:rsid w:val="00657EC5"/>
    <w:rsid w:val="00661034"/>
    <w:rsid w:val="00661190"/>
    <w:rsid w:val="00662292"/>
    <w:rsid w:val="006632DA"/>
    <w:rsid w:val="00664827"/>
    <w:rsid w:val="0066735B"/>
    <w:rsid w:val="00671FCB"/>
    <w:rsid w:val="0067283C"/>
    <w:rsid w:val="006811F5"/>
    <w:rsid w:val="0068375E"/>
    <w:rsid w:val="00683F98"/>
    <w:rsid w:val="00684504"/>
    <w:rsid w:val="00694799"/>
    <w:rsid w:val="0069789F"/>
    <w:rsid w:val="006A0690"/>
    <w:rsid w:val="006A1458"/>
    <w:rsid w:val="006A5A3C"/>
    <w:rsid w:val="006D34DE"/>
    <w:rsid w:val="006D38C2"/>
    <w:rsid w:val="006D3C55"/>
    <w:rsid w:val="006D7A87"/>
    <w:rsid w:val="006E20B2"/>
    <w:rsid w:val="006E713C"/>
    <w:rsid w:val="006F2FC1"/>
    <w:rsid w:val="006F4509"/>
    <w:rsid w:val="006F7291"/>
    <w:rsid w:val="00700A31"/>
    <w:rsid w:val="0070723C"/>
    <w:rsid w:val="007136E5"/>
    <w:rsid w:val="00716A0A"/>
    <w:rsid w:val="007217C0"/>
    <w:rsid w:val="0072735C"/>
    <w:rsid w:val="007378DB"/>
    <w:rsid w:val="00737DD5"/>
    <w:rsid w:val="007506C7"/>
    <w:rsid w:val="00750EF8"/>
    <w:rsid w:val="0075141B"/>
    <w:rsid w:val="00756285"/>
    <w:rsid w:val="0076061F"/>
    <w:rsid w:val="00760E8E"/>
    <w:rsid w:val="00762DDA"/>
    <w:rsid w:val="007636DA"/>
    <w:rsid w:val="007679B6"/>
    <w:rsid w:val="007707B9"/>
    <w:rsid w:val="00772297"/>
    <w:rsid w:val="00776740"/>
    <w:rsid w:val="007805C1"/>
    <w:rsid w:val="00780E15"/>
    <w:rsid w:val="007817EE"/>
    <w:rsid w:val="00785CB5"/>
    <w:rsid w:val="007862EA"/>
    <w:rsid w:val="007906B4"/>
    <w:rsid w:val="007928DD"/>
    <w:rsid w:val="00793831"/>
    <w:rsid w:val="00795E95"/>
    <w:rsid w:val="007967A4"/>
    <w:rsid w:val="00796833"/>
    <w:rsid w:val="00796FFF"/>
    <w:rsid w:val="007A199D"/>
    <w:rsid w:val="007A5D57"/>
    <w:rsid w:val="007A75D0"/>
    <w:rsid w:val="007C10F1"/>
    <w:rsid w:val="007C30EA"/>
    <w:rsid w:val="007D0FAB"/>
    <w:rsid w:val="007D1D78"/>
    <w:rsid w:val="007E07B3"/>
    <w:rsid w:val="007E18BA"/>
    <w:rsid w:val="007E23C0"/>
    <w:rsid w:val="007E3BC4"/>
    <w:rsid w:val="007E7FE6"/>
    <w:rsid w:val="007F1FAA"/>
    <w:rsid w:val="007F26B4"/>
    <w:rsid w:val="00802278"/>
    <w:rsid w:val="00802C81"/>
    <w:rsid w:val="00804E5A"/>
    <w:rsid w:val="008149C0"/>
    <w:rsid w:val="008153A3"/>
    <w:rsid w:val="00816AB7"/>
    <w:rsid w:val="00817BBF"/>
    <w:rsid w:val="00822B60"/>
    <w:rsid w:val="008248C1"/>
    <w:rsid w:val="00833967"/>
    <w:rsid w:val="0083623B"/>
    <w:rsid w:val="0083785D"/>
    <w:rsid w:val="00840F50"/>
    <w:rsid w:val="008459F2"/>
    <w:rsid w:val="00847164"/>
    <w:rsid w:val="00847AC2"/>
    <w:rsid w:val="00851C33"/>
    <w:rsid w:val="008527CB"/>
    <w:rsid w:val="008528D3"/>
    <w:rsid w:val="00866145"/>
    <w:rsid w:val="00867805"/>
    <w:rsid w:val="00870094"/>
    <w:rsid w:val="00871F8F"/>
    <w:rsid w:val="00881AB0"/>
    <w:rsid w:val="00886101"/>
    <w:rsid w:val="00886559"/>
    <w:rsid w:val="00886ABA"/>
    <w:rsid w:val="008901DF"/>
    <w:rsid w:val="008910C3"/>
    <w:rsid w:val="00892373"/>
    <w:rsid w:val="00895932"/>
    <w:rsid w:val="00896157"/>
    <w:rsid w:val="008A027B"/>
    <w:rsid w:val="008A2A23"/>
    <w:rsid w:val="008A5556"/>
    <w:rsid w:val="008B2426"/>
    <w:rsid w:val="008B2EC3"/>
    <w:rsid w:val="008B4821"/>
    <w:rsid w:val="008B7854"/>
    <w:rsid w:val="008C3B83"/>
    <w:rsid w:val="008C6432"/>
    <w:rsid w:val="008D3C3C"/>
    <w:rsid w:val="008D6319"/>
    <w:rsid w:val="008E4433"/>
    <w:rsid w:val="008E79D0"/>
    <w:rsid w:val="008E7CBA"/>
    <w:rsid w:val="008F1A45"/>
    <w:rsid w:val="008F7D01"/>
    <w:rsid w:val="009029FC"/>
    <w:rsid w:val="009060F7"/>
    <w:rsid w:val="00912571"/>
    <w:rsid w:val="00914EC5"/>
    <w:rsid w:val="00916A92"/>
    <w:rsid w:val="00925333"/>
    <w:rsid w:val="00925A92"/>
    <w:rsid w:val="00926A1B"/>
    <w:rsid w:val="00926E15"/>
    <w:rsid w:val="009272A3"/>
    <w:rsid w:val="00930556"/>
    <w:rsid w:val="00931B0F"/>
    <w:rsid w:val="00944001"/>
    <w:rsid w:val="00945319"/>
    <w:rsid w:val="00950195"/>
    <w:rsid w:val="00950E49"/>
    <w:rsid w:val="009533EE"/>
    <w:rsid w:val="009542F7"/>
    <w:rsid w:val="009565B6"/>
    <w:rsid w:val="00963585"/>
    <w:rsid w:val="00965B25"/>
    <w:rsid w:val="00967791"/>
    <w:rsid w:val="00972EF7"/>
    <w:rsid w:val="00974DCF"/>
    <w:rsid w:val="009757DA"/>
    <w:rsid w:val="009757EB"/>
    <w:rsid w:val="00976966"/>
    <w:rsid w:val="00981757"/>
    <w:rsid w:val="00985B9E"/>
    <w:rsid w:val="00986223"/>
    <w:rsid w:val="009912A0"/>
    <w:rsid w:val="009979B5"/>
    <w:rsid w:val="009A013F"/>
    <w:rsid w:val="009A597C"/>
    <w:rsid w:val="009B0B3E"/>
    <w:rsid w:val="009B68F1"/>
    <w:rsid w:val="009C4409"/>
    <w:rsid w:val="009C4E27"/>
    <w:rsid w:val="009D13EB"/>
    <w:rsid w:val="009D230B"/>
    <w:rsid w:val="009D4A00"/>
    <w:rsid w:val="009D6EB3"/>
    <w:rsid w:val="009D6F69"/>
    <w:rsid w:val="009E3877"/>
    <w:rsid w:val="009E4C4D"/>
    <w:rsid w:val="009F4B30"/>
    <w:rsid w:val="00A0012E"/>
    <w:rsid w:val="00A0600E"/>
    <w:rsid w:val="00A06F13"/>
    <w:rsid w:val="00A13EB0"/>
    <w:rsid w:val="00A15DA2"/>
    <w:rsid w:val="00A17E66"/>
    <w:rsid w:val="00A27074"/>
    <w:rsid w:val="00A30861"/>
    <w:rsid w:val="00A36918"/>
    <w:rsid w:val="00A40957"/>
    <w:rsid w:val="00A51375"/>
    <w:rsid w:val="00A52D6B"/>
    <w:rsid w:val="00A54737"/>
    <w:rsid w:val="00A61AA5"/>
    <w:rsid w:val="00A639BE"/>
    <w:rsid w:val="00A64808"/>
    <w:rsid w:val="00A70E4F"/>
    <w:rsid w:val="00A73BF4"/>
    <w:rsid w:val="00A75BF9"/>
    <w:rsid w:val="00A764EA"/>
    <w:rsid w:val="00A766DA"/>
    <w:rsid w:val="00A80B11"/>
    <w:rsid w:val="00A83F98"/>
    <w:rsid w:val="00A84408"/>
    <w:rsid w:val="00A86A9F"/>
    <w:rsid w:val="00A87948"/>
    <w:rsid w:val="00A90A31"/>
    <w:rsid w:val="00A914DB"/>
    <w:rsid w:val="00A92C64"/>
    <w:rsid w:val="00A9430A"/>
    <w:rsid w:val="00A971FD"/>
    <w:rsid w:val="00A9738A"/>
    <w:rsid w:val="00AA3EE9"/>
    <w:rsid w:val="00AB3BAF"/>
    <w:rsid w:val="00AB711C"/>
    <w:rsid w:val="00AB7578"/>
    <w:rsid w:val="00AC4E02"/>
    <w:rsid w:val="00AD2D6E"/>
    <w:rsid w:val="00AD7314"/>
    <w:rsid w:val="00AE1040"/>
    <w:rsid w:val="00AE2C1E"/>
    <w:rsid w:val="00AE7348"/>
    <w:rsid w:val="00AF155A"/>
    <w:rsid w:val="00AF1EA0"/>
    <w:rsid w:val="00AF66D9"/>
    <w:rsid w:val="00B00145"/>
    <w:rsid w:val="00B02A11"/>
    <w:rsid w:val="00B05FEC"/>
    <w:rsid w:val="00B13CD6"/>
    <w:rsid w:val="00B15516"/>
    <w:rsid w:val="00B165AA"/>
    <w:rsid w:val="00B2352C"/>
    <w:rsid w:val="00B40CAC"/>
    <w:rsid w:val="00B43B5B"/>
    <w:rsid w:val="00B469EC"/>
    <w:rsid w:val="00B52386"/>
    <w:rsid w:val="00B52ADA"/>
    <w:rsid w:val="00B53FA4"/>
    <w:rsid w:val="00B56EAC"/>
    <w:rsid w:val="00B6469D"/>
    <w:rsid w:val="00B64899"/>
    <w:rsid w:val="00B72B18"/>
    <w:rsid w:val="00B74217"/>
    <w:rsid w:val="00B866C8"/>
    <w:rsid w:val="00B873C1"/>
    <w:rsid w:val="00B92CB6"/>
    <w:rsid w:val="00B9317C"/>
    <w:rsid w:val="00B94015"/>
    <w:rsid w:val="00B95C17"/>
    <w:rsid w:val="00B95D48"/>
    <w:rsid w:val="00B95D76"/>
    <w:rsid w:val="00B965B8"/>
    <w:rsid w:val="00B972A5"/>
    <w:rsid w:val="00B97B5A"/>
    <w:rsid w:val="00BA4C66"/>
    <w:rsid w:val="00BA515F"/>
    <w:rsid w:val="00BB184E"/>
    <w:rsid w:val="00BB3CD5"/>
    <w:rsid w:val="00BB66DA"/>
    <w:rsid w:val="00BC3B77"/>
    <w:rsid w:val="00BC46EF"/>
    <w:rsid w:val="00BC64E9"/>
    <w:rsid w:val="00BD1CE9"/>
    <w:rsid w:val="00BD2285"/>
    <w:rsid w:val="00BD23A0"/>
    <w:rsid w:val="00BD3F4C"/>
    <w:rsid w:val="00BF47D2"/>
    <w:rsid w:val="00BF5CA4"/>
    <w:rsid w:val="00C009E2"/>
    <w:rsid w:val="00C04B5A"/>
    <w:rsid w:val="00C04DEA"/>
    <w:rsid w:val="00C1408E"/>
    <w:rsid w:val="00C24592"/>
    <w:rsid w:val="00C310BE"/>
    <w:rsid w:val="00C31AE0"/>
    <w:rsid w:val="00C3623C"/>
    <w:rsid w:val="00C36BD5"/>
    <w:rsid w:val="00C4473E"/>
    <w:rsid w:val="00C47F68"/>
    <w:rsid w:val="00C539F8"/>
    <w:rsid w:val="00C56153"/>
    <w:rsid w:val="00C56C0A"/>
    <w:rsid w:val="00C66141"/>
    <w:rsid w:val="00C81249"/>
    <w:rsid w:val="00C8262A"/>
    <w:rsid w:val="00C93D83"/>
    <w:rsid w:val="00C95397"/>
    <w:rsid w:val="00C96019"/>
    <w:rsid w:val="00CA3E23"/>
    <w:rsid w:val="00CA4CDA"/>
    <w:rsid w:val="00CB29D9"/>
    <w:rsid w:val="00CB7AC9"/>
    <w:rsid w:val="00CC068E"/>
    <w:rsid w:val="00CC1BD7"/>
    <w:rsid w:val="00CC25CA"/>
    <w:rsid w:val="00CC5DCE"/>
    <w:rsid w:val="00CD6C2A"/>
    <w:rsid w:val="00CE0312"/>
    <w:rsid w:val="00CE1D1F"/>
    <w:rsid w:val="00CE4B03"/>
    <w:rsid w:val="00CE5242"/>
    <w:rsid w:val="00CE5E2D"/>
    <w:rsid w:val="00CE647C"/>
    <w:rsid w:val="00CF2D94"/>
    <w:rsid w:val="00CF2DF5"/>
    <w:rsid w:val="00D000D1"/>
    <w:rsid w:val="00D01386"/>
    <w:rsid w:val="00D01AA1"/>
    <w:rsid w:val="00D10CAF"/>
    <w:rsid w:val="00D12B16"/>
    <w:rsid w:val="00D138CD"/>
    <w:rsid w:val="00D15B34"/>
    <w:rsid w:val="00D2010D"/>
    <w:rsid w:val="00D211E4"/>
    <w:rsid w:val="00D24EAE"/>
    <w:rsid w:val="00D2703F"/>
    <w:rsid w:val="00D30115"/>
    <w:rsid w:val="00D32811"/>
    <w:rsid w:val="00D34300"/>
    <w:rsid w:val="00D35BE7"/>
    <w:rsid w:val="00D413BA"/>
    <w:rsid w:val="00D41FC1"/>
    <w:rsid w:val="00D46E80"/>
    <w:rsid w:val="00D50931"/>
    <w:rsid w:val="00D535D5"/>
    <w:rsid w:val="00D54122"/>
    <w:rsid w:val="00D57C39"/>
    <w:rsid w:val="00D605C3"/>
    <w:rsid w:val="00D6226E"/>
    <w:rsid w:val="00D6523C"/>
    <w:rsid w:val="00D65D61"/>
    <w:rsid w:val="00D722C8"/>
    <w:rsid w:val="00D729A9"/>
    <w:rsid w:val="00D761C0"/>
    <w:rsid w:val="00D773C9"/>
    <w:rsid w:val="00D83B57"/>
    <w:rsid w:val="00D904B5"/>
    <w:rsid w:val="00D940BA"/>
    <w:rsid w:val="00DA63D2"/>
    <w:rsid w:val="00DA69EE"/>
    <w:rsid w:val="00DB1169"/>
    <w:rsid w:val="00DB4FD7"/>
    <w:rsid w:val="00DC0D01"/>
    <w:rsid w:val="00DC178A"/>
    <w:rsid w:val="00DC569D"/>
    <w:rsid w:val="00DC764E"/>
    <w:rsid w:val="00DD1AC0"/>
    <w:rsid w:val="00DD3B51"/>
    <w:rsid w:val="00DE10D0"/>
    <w:rsid w:val="00DE276D"/>
    <w:rsid w:val="00DE3A94"/>
    <w:rsid w:val="00DF20D8"/>
    <w:rsid w:val="00DF3C8E"/>
    <w:rsid w:val="00DF407C"/>
    <w:rsid w:val="00DF53DC"/>
    <w:rsid w:val="00E012BC"/>
    <w:rsid w:val="00E014D8"/>
    <w:rsid w:val="00E01C7C"/>
    <w:rsid w:val="00E06BC2"/>
    <w:rsid w:val="00E06F25"/>
    <w:rsid w:val="00E14AFF"/>
    <w:rsid w:val="00E1680B"/>
    <w:rsid w:val="00E24437"/>
    <w:rsid w:val="00E3067A"/>
    <w:rsid w:val="00E35E11"/>
    <w:rsid w:val="00E36880"/>
    <w:rsid w:val="00E40C8D"/>
    <w:rsid w:val="00E4642D"/>
    <w:rsid w:val="00E51915"/>
    <w:rsid w:val="00E52CB6"/>
    <w:rsid w:val="00E560E7"/>
    <w:rsid w:val="00E56C67"/>
    <w:rsid w:val="00E60896"/>
    <w:rsid w:val="00E701CE"/>
    <w:rsid w:val="00E720FE"/>
    <w:rsid w:val="00E725BA"/>
    <w:rsid w:val="00E7638C"/>
    <w:rsid w:val="00E84BF4"/>
    <w:rsid w:val="00E85789"/>
    <w:rsid w:val="00E858E6"/>
    <w:rsid w:val="00E8696A"/>
    <w:rsid w:val="00E94EE6"/>
    <w:rsid w:val="00E9535F"/>
    <w:rsid w:val="00E972C7"/>
    <w:rsid w:val="00EA2D2D"/>
    <w:rsid w:val="00EA497F"/>
    <w:rsid w:val="00EA76E5"/>
    <w:rsid w:val="00EB0B95"/>
    <w:rsid w:val="00EB54D0"/>
    <w:rsid w:val="00EB793B"/>
    <w:rsid w:val="00EC1A18"/>
    <w:rsid w:val="00EC37DB"/>
    <w:rsid w:val="00EC7FD4"/>
    <w:rsid w:val="00ED2D54"/>
    <w:rsid w:val="00ED4249"/>
    <w:rsid w:val="00ED5F7D"/>
    <w:rsid w:val="00EE2FB6"/>
    <w:rsid w:val="00EF0940"/>
    <w:rsid w:val="00F00C3D"/>
    <w:rsid w:val="00F020E4"/>
    <w:rsid w:val="00F05AE9"/>
    <w:rsid w:val="00F06D02"/>
    <w:rsid w:val="00F11D80"/>
    <w:rsid w:val="00F14A5B"/>
    <w:rsid w:val="00F208F6"/>
    <w:rsid w:val="00F211B5"/>
    <w:rsid w:val="00F25BAF"/>
    <w:rsid w:val="00F26F8A"/>
    <w:rsid w:val="00F27729"/>
    <w:rsid w:val="00F326F4"/>
    <w:rsid w:val="00F32B1C"/>
    <w:rsid w:val="00F32BC5"/>
    <w:rsid w:val="00F3794D"/>
    <w:rsid w:val="00F37FD4"/>
    <w:rsid w:val="00F44167"/>
    <w:rsid w:val="00F44476"/>
    <w:rsid w:val="00F45F32"/>
    <w:rsid w:val="00F4752E"/>
    <w:rsid w:val="00F525DB"/>
    <w:rsid w:val="00F52DA8"/>
    <w:rsid w:val="00F5370F"/>
    <w:rsid w:val="00F62BC6"/>
    <w:rsid w:val="00F62FAE"/>
    <w:rsid w:val="00F63BE9"/>
    <w:rsid w:val="00F663FD"/>
    <w:rsid w:val="00F671E9"/>
    <w:rsid w:val="00F74EA5"/>
    <w:rsid w:val="00F756BB"/>
    <w:rsid w:val="00F7678F"/>
    <w:rsid w:val="00F85153"/>
    <w:rsid w:val="00F85548"/>
    <w:rsid w:val="00F8651F"/>
    <w:rsid w:val="00F94A44"/>
    <w:rsid w:val="00F94E4D"/>
    <w:rsid w:val="00F96F11"/>
    <w:rsid w:val="00FA13B3"/>
    <w:rsid w:val="00FA40DD"/>
    <w:rsid w:val="00FB19F2"/>
    <w:rsid w:val="00FB424C"/>
    <w:rsid w:val="00FB69AC"/>
    <w:rsid w:val="00FC1FA6"/>
    <w:rsid w:val="00FC524F"/>
    <w:rsid w:val="00FC6020"/>
    <w:rsid w:val="00FD1F1C"/>
    <w:rsid w:val="00FD7278"/>
    <w:rsid w:val="00FF430D"/>
    <w:rsid w:val="00FF4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27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97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397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975C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975C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975C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975C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975C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975C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975C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75C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3975C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975C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975C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975C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975C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975C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975C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975C9"/>
    <w:rPr>
      <w:rFonts w:eastAsiaTheme="majorEastAsia" w:cstheme="majorBidi"/>
      <w:color w:val="272727" w:themeColor="text1" w:themeTint="D8"/>
    </w:rPr>
  </w:style>
  <w:style w:type="paragraph" w:styleId="Titolo">
    <w:name w:val="Title"/>
    <w:basedOn w:val="Normale"/>
    <w:next w:val="Normale"/>
    <w:link w:val="TitoloCarattere"/>
    <w:uiPriority w:val="10"/>
    <w:qFormat/>
    <w:rsid w:val="00397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975C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975C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975C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975C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975C9"/>
    <w:rPr>
      <w:i/>
      <w:iCs/>
      <w:color w:val="404040" w:themeColor="text1" w:themeTint="BF"/>
    </w:rPr>
  </w:style>
  <w:style w:type="paragraph" w:styleId="Paragrafoelenco">
    <w:name w:val="List Paragraph"/>
    <w:basedOn w:val="Normale"/>
    <w:uiPriority w:val="34"/>
    <w:qFormat/>
    <w:rsid w:val="003975C9"/>
    <w:pPr>
      <w:ind w:left="720"/>
      <w:contextualSpacing/>
    </w:pPr>
  </w:style>
  <w:style w:type="character" w:styleId="Enfasiintensa">
    <w:name w:val="Intense Emphasis"/>
    <w:basedOn w:val="Carpredefinitoparagrafo"/>
    <w:uiPriority w:val="21"/>
    <w:qFormat/>
    <w:rsid w:val="003975C9"/>
    <w:rPr>
      <w:i/>
      <w:iCs/>
      <w:color w:val="0F4761" w:themeColor="accent1" w:themeShade="BF"/>
    </w:rPr>
  </w:style>
  <w:style w:type="paragraph" w:styleId="Citazioneintensa">
    <w:name w:val="Intense Quote"/>
    <w:basedOn w:val="Normale"/>
    <w:next w:val="Normale"/>
    <w:link w:val="CitazioneintensaCarattere"/>
    <w:uiPriority w:val="30"/>
    <w:qFormat/>
    <w:rsid w:val="00397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975C9"/>
    <w:rPr>
      <w:i/>
      <w:iCs/>
      <w:color w:val="0F4761" w:themeColor="accent1" w:themeShade="BF"/>
    </w:rPr>
  </w:style>
  <w:style w:type="character" w:styleId="Riferimentointenso">
    <w:name w:val="Intense Reference"/>
    <w:basedOn w:val="Carpredefinitoparagrafo"/>
    <w:uiPriority w:val="32"/>
    <w:qFormat/>
    <w:rsid w:val="003975C9"/>
    <w:rPr>
      <w:b/>
      <w:bCs/>
      <w:smallCaps/>
      <w:color w:val="0F4761" w:themeColor="accent1" w:themeShade="BF"/>
      <w:spacing w:val="5"/>
    </w:rPr>
  </w:style>
  <w:style w:type="paragraph" w:styleId="Titolosommario">
    <w:name w:val="TOC Heading"/>
    <w:basedOn w:val="Titolo1"/>
    <w:next w:val="Normale"/>
    <w:uiPriority w:val="39"/>
    <w:unhideWhenUsed/>
    <w:qFormat/>
    <w:rsid w:val="00684504"/>
    <w:pPr>
      <w:spacing w:before="240" w:after="0"/>
      <w:outlineLvl w:val="9"/>
    </w:pPr>
    <w:rPr>
      <w:kern w:val="0"/>
      <w:sz w:val="32"/>
      <w:szCs w:val="32"/>
      <w:lang w:eastAsia="it-IT"/>
      <w14:ligatures w14:val="none"/>
    </w:rPr>
  </w:style>
  <w:style w:type="paragraph" w:styleId="Sommario2">
    <w:name w:val="toc 2"/>
    <w:basedOn w:val="Normale"/>
    <w:next w:val="Normale"/>
    <w:autoRedefine/>
    <w:uiPriority w:val="39"/>
    <w:unhideWhenUsed/>
    <w:rsid w:val="00684504"/>
    <w:pPr>
      <w:spacing w:after="100"/>
      <w:ind w:left="220"/>
    </w:pPr>
  </w:style>
  <w:style w:type="character" w:styleId="Collegamentoipertestuale">
    <w:name w:val="Hyperlink"/>
    <w:basedOn w:val="Carpredefinitoparagrafo"/>
    <w:uiPriority w:val="99"/>
    <w:unhideWhenUsed/>
    <w:rsid w:val="00684504"/>
    <w:rPr>
      <w:color w:val="467886" w:themeColor="hyperlink"/>
      <w:u w:val="single"/>
    </w:rPr>
  </w:style>
  <w:style w:type="paragraph" w:styleId="Intestazione">
    <w:name w:val="header"/>
    <w:basedOn w:val="Normale"/>
    <w:link w:val="IntestazioneCarattere"/>
    <w:uiPriority w:val="99"/>
    <w:unhideWhenUsed/>
    <w:rsid w:val="006346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4624"/>
  </w:style>
  <w:style w:type="paragraph" w:styleId="Pidipagina">
    <w:name w:val="footer"/>
    <w:basedOn w:val="Normale"/>
    <w:link w:val="PidipaginaCarattere"/>
    <w:uiPriority w:val="99"/>
    <w:unhideWhenUsed/>
    <w:rsid w:val="006346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4624"/>
  </w:style>
  <w:style w:type="paragraph" w:styleId="Sommario1">
    <w:name w:val="toc 1"/>
    <w:basedOn w:val="Normale"/>
    <w:next w:val="Normale"/>
    <w:autoRedefine/>
    <w:uiPriority w:val="39"/>
    <w:unhideWhenUsed/>
    <w:rsid w:val="0072735C"/>
    <w:pPr>
      <w:tabs>
        <w:tab w:val="right" w:leader="dot" w:pos="9628"/>
      </w:tabs>
      <w:spacing w:after="100"/>
    </w:pPr>
    <w:rPr>
      <w:rFonts w:ascii="Bookman Old Style" w:hAnsi="Bookman Old Style"/>
      <w:b/>
      <w:bCs/>
      <w:noProof/>
    </w:rPr>
  </w:style>
  <w:style w:type="paragraph" w:styleId="Revisione">
    <w:name w:val="Revision"/>
    <w:hidden/>
    <w:uiPriority w:val="99"/>
    <w:semiHidden/>
    <w:rsid w:val="00476CF7"/>
    <w:pPr>
      <w:spacing w:after="0" w:line="240" w:lineRule="auto"/>
    </w:pPr>
  </w:style>
  <w:style w:type="character" w:styleId="Rimandocommento">
    <w:name w:val="annotation reference"/>
    <w:basedOn w:val="Carpredefinitoparagrafo"/>
    <w:uiPriority w:val="99"/>
    <w:semiHidden/>
    <w:unhideWhenUsed/>
    <w:rsid w:val="00284765"/>
    <w:rPr>
      <w:sz w:val="16"/>
      <w:szCs w:val="16"/>
    </w:rPr>
  </w:style>
  <w:style w:type="paragraph" w:styleId="Testocommento">
    <w:name w:val="annotation text"/>
    <w:basedOn w:val="Normale"/>
    <w:link w:val="TestocommentoCarattere"/>
    <w:uiPriority w:val="99"/>
    <w:unhideWhenUsed/>
    <w:rsid w:val="002847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284765"/>
    <w:rPr>
      <w:sz w:val="20"/>
      <w:szCs w:val="20"/>
    </w:rPr>
  </w:style>
  <w:style w:type="paragraph" w:styleId="Soggettocommento">
    <w:name w:val="annotation subject"/>
    <w:basedOn w:val="Testocommento"/>
    <w:next w:val="Testocommento"/>
    <w:link w:val="SoggettocommentoCarattere"/>
    <w:uiPriority w:val="99"/>
    <w:semiHidden/>
    <w:unhideWhenUsed/>
    <w:rsid w:val="00284765"/>
    <w:rPr>
      <w:b/>
      <w:bCs/>
    </w:rPr>
  </w:style>
  <w:style w:type="character" w:customStyle="1" w:styleId="SoggettocommentoCarattere">
    <w:name w:val="Soggetto commento Carattere"/>
    <w:basedOn w:val="TestocommentoCarattere"/>
    <w:link w:val="Soggettocommento"/>
    <w:uiPriority w:val="99"/>
    <w:semiHidden/>
    <w:rsid w:val="00284765"/>
    <w:rPr>
      <w:b/>
      <w:bCs/>
      <w:sz w:val="20"/>
      <w:szCs w:val="20"/>
    </w:rPr>
  </w:style>
  <w:style w:type="character" w:styleId="Collegamentovisitato">
    <w:name w:val="FollowedHyperlink"/>
    <w:basedOn w:val="Carpredefinitoparagrafo"/>
    <w:uiPriority w:val="99"/>
    <w:semiHidden/>
    <w:unhideWhenUsed/>
    <w:rsid w:val="001F46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14864">
      <w:bodyDiv w:val="1"/>
      <w:marLeft w:val="0"/>
      <w:marRight w:val="0"/>
      <w:marTop w:val="0"/>
      <w:marBottom w:val="0"/>
      <w:divBdr>
        <w:top w:val="none" w:sz="0" w:space="0" w:color="auto"/>
        <w:left w:val="none" w:sz="0" w:space="0" w:color="auto"/>
        <w:bottom w:val="none" w:sz="0" w:space="0" w:color="auto"/>
        <w:right w:val="none" w:sz="0" w:space="0" w:color="auto"/>
      </w:divBdr>
    </w:div>
    <w:div w:id="185337385">
      <w:bodyDiv w:val="1"/>
      <w:marLeft w:val="0"/>
      <w:marRight w:val="0"/>
      <w:marTop w:val="0"/>
      <w:marBottom w:val="0"/>
      <w:divBdr>
        <w:top w:val="none" w:sz="0" w:space="0" w:color="auto"/>
        <w:left w:val="none" w:sz="0" w:space="0" w:color="auto"/>
        <w:bottom w:val="none" w:sz="0" w:space="0" w:color="auto"/>
        <w:right w:val="none" w:sz="0" w:space="0" w:color="auto"/>
      </w:divBdr>
    </w:div>
    <w:div w:id="476381579">
      <w:bodyDiv w:val="1"/>
      <w:marLeft w:val="0"/>
      <w:marRight w:val="0"/>
      <w:marTop w:val="0"/>
      <w:marBottom w:val="0"/>
      <w:divBdr>
        <w:top w:val="none" w:sz="0" w:space="0" w:color="auto"/>
        <w:left w:val="none" w:sz="0" w:space="0" w:color="auto"/>
        <w:bottom w:val="none" w:sz="0" w:space="0" w:color="auto"/>
        <w:right w:val="none" w:sz="0" w:space="0" w:color="auto"/>
      </w:divBdr>
    </w:div>
    <w:div w:id="581259986">
      <w:bodyDiv w:val="1"/>
      <w:marLeft w:val="0"/>
      <w:marRight w:val="0"/>
      <w:marTop w:val="0"/>
      <w:marBottom w:val="0"/>
      <w:divBdr>
        <w:top w:val="none" w:sz="0" w:space="0" w:color="auto"/>
        <w:left w:val="none" w:sz="0" w:space="0" w:color="auto"/>
        <w:bottom w:val="none" w:sz="0" w:space="0" w:color="auto"/>
        <w:right w:val="none" w:sz="0" w:space="0" w:color="auto"/>
      </w:divBdr>
    </w:div>
    <w:div w:id="719472823">
      <w:bodyDiv w:val="1"/>
      <w:marLeft w:val="0"/>
      <w:marRight w:val="0"/>
      <w:marTop w:val="0"/>
      <w:marBottom w:val="0"/>
      <w:divBdr>
        <w:top w:val="none" w:sz="0" w:space="0" w:color="auto"/>
        <w:left w:val="none" w:sz="0" w:space="0" w:color="auto"/>
        <w:bottom w:val="none" w:sz="0" w:space="0" w:color="auto"/>
        <w:right w:val="none" w:sz="0" w:space="0" w:color="auto"/>
      </w:divBdr>
    </w:div>
    <w:div w:id="897979890">
      <w:bodyDiv w:val="1"/>
      <w:marLeft w:val="0"/>
      <w:marRight w:val="0"/>
      <w:marTop w:val="0"/>
      <w:marBottom w:val="0"/>
      <w:divBdr>
        <w:top w:val="none" w:sz="0" w:space="0" w:color="auto"/>
        <w:left w:val="none" w:sz="0" w:space="0" w:color="auto"/>
        <w:bottom w:val="none" w:sz="0" w:space="0" w:color="auto"/>
        <w:right w:val="none" w:sz="0" w:space="0" w:color="auto"/>
      </w:divBdr>
    </w:div>
    <w:div w:id="984696831">
      <w:bodyDiv w:val="1"/>
      <w:marLeft w:val="0"/>
      <w:marRight w:val="0"/>
      <w:marTop w:val="0"/>
      <w:marBottom w:val="0"/>
      <w:divBdr>
        <w:top w:val="none" w:sz="0" w:space="0" w:color="auto"/>
        <w:left w:val="none" w:sz="0" w:space="0" w:color="auto"/>
        <w:bottom w:val="none" w:sz="0" w:space="0" w:color="auto"/>
        <w:right w:val="none" w:sz="0" w:space="0" w:color="auto"/>
      </w:divBdr>
    </w:div>
    <w:div w:id="1079138041">
      <w:bodyDiv w:val="1"/>
      <w:marLeft w:val="0"/>
      <w:marRight w:val="0"/>
      <w:marTop w:val="0"/>
      <w:marBottom w:val="0"/>
      <w:divBdr>
        <w:top w:val="none" w:sz="0" w:space="0" w:color="auto"/>
        <w:left w:val="none" w:sz="0" w:space="0" w:color="auto"/>
        <w:bottom w:val="none" w:sz="0" w:space="0" w:color="auto"/>
        <w:right w:val="none" w:sz="0" w:space="0" w:color="auto"/>
      </w:divBdr>
    </w:div>
    <w:div w:id="1568108851">
      <w:bodyDiv w:val="1"/>
      <w:marLeft w:val="0"/>
      <w:marRight w:val="0"/>
      <w:marTop w:val="0"/>
      <w:marBottom w:val="0"/>
      <w:divBdr>
        <w:top w:val="none" w:sz="0" w:space="0" w:color="auto"/>
        <w:left w:val="none" w:sz="0" w:space="0" w:color="auto"/>
        <w:bottom w:val="none" w:sz="0" w:space="0" w:color="auto"/>
        <w:right w:val="none" w:sz="0" w:space="0" w:color="auto"/>
      </w:divBdr>
    </w:div>
    <w:div w:id="1738746062">
      <w:bodyDiv w:val="1"/>
      <w:marLeft w:val="0"/>
      <w:marRight w:val="0"/>
      <w:marTop w:val="0"/>
      <w:marBottom w:val="0"/>
      <w:divBdr>
        <w:top w:val="none" w:sz="0" w:space="0" w:color="auto"/>
        <w:left w:val="none" w:sz="0" w:space="0" w:color="auto"/>
        <w:bottom w:val="none" w:sz="0" w:space="0" w:color="auto"/>
        <w:right w:val="none" w:sz="0" w:space="0" w:color="auto"/>
      </w:divBdr>
    </w:div>
    <w:div w:id="201827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emf"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image" Target="media/image2.jpeg"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hyperlink" Target="https://www.normattiva.it/uri-res/N2Ls?urn:nir:stato:legge:2018;145~art1!vig=" TargetMode="Externa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image" Target="media/image4.em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A14B0E637B5F2439CFA9CB4F3D82AAF" ma:contentTypeVersion="12" ma:contentTypeDescription="Creare un nuovo documento." ma:contentTypeScope="" ma:versionID="dba2f25d2b37e994c5dcb31e12552cd3">
  <xsd:schema xmlns:xsd="http://www.w3.org/2001/XMLSchema" xmlns:xs="http://www.w3.org/2001/XMLSchema" xmlns:p="http://schemas.microsoft.com/office/2006/metadata/properties" xmlns:ns2="54df8d27-895a-4b63-9629-20846d94b731" xmlns:ns3="d81dc52c-1646-4dbd-bc7f-93530074f1e2" targetNamespace="http://schemas.microsoft.com/office/2006/metadata/properties" ma:root="true" ma:fieldsID="9b8575c78647625e5fe2ebf6f4b1b238" ns2:_="" ns3:_="">
    <xsd:import namespace="54df8d27-895a-4b63-9629-20846d94b731"/>
    <xsd:import namespace="d81dc52c-1646-4dbd-bc7f-93530074f1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f8d27-895a-4b63-9629-20846d94b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dc52c-1646-4dbd-bc7f-93530074f1e2"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A657E-66BF-4E25-AF4C-0054E2661B89}">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1BB5F76E-0BA8-45AA-99C8-781C89647BE3}">
  <ds:schemaRefs>
    <ds:schemaRef ds:uri="http://schemas.microsoft.com/office/2006/metadata/contentType"/>
    <ds:schemaRef ds:uri="http://schemas.microsoft.com/office/2006/metadata/properties/metaAttributes"/>
    <ds:schemaRef ds:uri="http://www.w3.org/2000/xmlns/"/>
    <ds:schemaRef ds:uri="http://www.w3.org/2001/XMLSchema"/>
    <ds:schemaRef ds:uri="54df8d27-895a-4b63-9629-20846d94b731"/>
    <ds:schemaRef ds:uri="d81dc52c-1646-4dbd-bc7f-93530074f1e2"/>
  </ds:schemaRefs>
</ds:datastoreItem>
</file>

<file path=customXml/itemProps3.xml><?xml version="1.0" encoding="utf-8"?>
<ds:datastoreItem xmlns:ds="http://schemas.openxmlformats.org/officeDocument/2006/customXml" ds:itemID="{8424C025-8BA7-4569-A59B-C28F7396F372}">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92B37BB0-0C4A-4F82-8FB4-511C991B6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6612</Words>
  <Characters>37691</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2024-12-20T15:45:00Z</dcterms:created>
  <dcterms:modified xsi:type="dcterms:W3CDTF">2024-12-20T15:45:00Z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0x0101004A14B0E637B5F2439CFA9CB4F3D82AAF</vt:lpwstr>
  </property>
</Properties>
</file>